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37" w:type="dxa"/>
        <w:tblLook w:val="04A0" w:firstRow="1" w:lastRow="0" w:firstColumn="1" w:lastColumn="0" w:noHBand="0" w:noVBand="1"/>
      </w:tblPr>
      <w:tblGrid>
        <w:gridCol w:w="2263"/>
        <w:gridCol w:w="6174"/>
      </w:tblGrid>
      <w:tr w:rsidR="00F33A4A" w14:paraId="59AA5E60" w14:textId="77777777" w:rsidTr="6296CD8E">
        <w:trPr>
          <w:trHeight w:val="557"/>
        </w:trPr>
        <w:tc>
          <w:tcPr>
            <w:tcW w:w="8437" w:type="dxa"/>
            <w:gridSpan w:val="2"/>
          </w:tcPr>
          <w:p w14:paraId="797AD9B7" w14:textId="77777777" w:rsidR="00F33A4A" w:rsidRPr="00F33A4A" w:rsidRDefault="6296CD8E" w:rsidP="6296CD8E">
            <w:pPr>
              <w:jc w:val="center"/>
              <w:rPr>
                <w:sz w:val="28"/>
                <w:szCs w:val="28"/>
              </w:rPr>
            </w:pPr>
            <w:r w:rsidRPr="6296CD8E">
              <w:rPr>
                <w:b/>
                <w:bCs/>
                <w:sz w:val="28"/>
                <w:szCs w:val="28"/>
                <w:lang w:val="en-US"/>
              </w:rPr>
              <w:t xml:space="preserve">Public Service Description </w:t>
            </w:r>
          </w:p>
        </w:tc>
      </w:tr>
      <w:tr w:rsidR="007D1F89" w14:paraId="33B66579" w14:textId="77777777" w:rsidTr="6296CD8E">
        <w:trPr>
          <w:trHeight w:val="557"/>
        </w:trPr>
        <w:tc>
          <w:tcPr>
            <w:tcW w:w="2263" w:type="dxa"/>
          </w:tcPr>
          <w:p w14:paraId="55D4BDD3" w14:textId="77777777" w:rsidR="007D1F89" w:rsidRPr="00F33A4A" w:rsidRDefault="6296CD8E" w:rsidP="6296CD8E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rPr>
                <w:b/>
                <w:bCs/>
                <w:lang w:val="en-US"/>
              </w:rPr>
            </w:pPr>
            <w:r w:rsidRPr="6296CD8E">
              <w:rPr>
                <w:rFonts w:ascii="Calibri" w:hAnsi="Calibri"/>
                <w:b/>
                <w:bCs/>
                <w:lang w:val="en-US"/>
              </w:rPr>
              <w:t>Public</w:t>
            </w:r>
            <w:r w:rsidRPr="6296CD8E">
              <w:rPr>
                <w:b/>
                <w:bCs/>
                <w:lang w:val="en-US"/>
              </w:rPr>
              <w:t xml:space="preserve"> Service Title</w:t>
            </w:r>
          </w:p>
        </w:tc>
        <w:tc>
          <w:tcPr>
            <w:tcW w:w="6174" w:type="dxa"/>
          </w:tcPr>
          <w:p w14:paraId="31304BE2" w14:textId="34E22E7B" w:rsidR="007D1F89" w:rsidRPr="00F54E00" w:rsidRDefault="6296CD8E" w:rsidP="6296CD8E">
            <w:pPr>
              <w:rPr>
                <w:b/>
                <w:bCs/>
              </w:rPr>
            </w:pPr>
            <w:bookmarkStart w:id="0" w:name="OLE_LINK4"/>
            <w:bookmarkStart w:id="1" w:name="OLE_LINK5"/>
            <w:bookmarkStart w:id="2" w:name="OLE_LINK6"/>
            <w:r w:rsidRPr="6296CD8E">
              <w:rPr>
                <w:b/>
                <w:bCs/>
              </w:rPr>
              <w:t>ΕΠΕΞΕΡΓΑΣΙΑ ΑΙΤΗΣΕΩΝ ΥΠΟΨΗΦΙΩΝ ΓΙΑ ΣΥΜΜΕΤΟΧΗ ΣΕ ΔΙΑΓΩΝΙΣΜΟ ΑΣΕΠ</w:t>
            </w:r>
            <w:r w:rsidR="00F54E00" w:rsidRPr="00F54E00">
              <w:rPr>
                <w:b/>
                <w:bCs/>
              </w:rPr>
              <w:t xml:space="preserve"> </w:t>
            </w:r>
            <w:r w:rsidR="00F54E00">
              <w:rPr>
                <w:b/>
                <w:bCs/>
              </w:rPr>
              <w:t>ΜΕ ΣΕΙΡΑ ΠΡΟΤΕΡΑΙΟΤΗΤΑΣ</w:t>
            </w:r>
            <w:bookmarkEnd w:id="0"/>
            <w:bookmarkEnd w:id="1"/>
            <w:bookmarkEnd w:id="2"/>
          </w:p>
        </w:tc>
      </w:tr>
      <w:tr w:rsidR="007D1F89" w14:paraId="6ECDB804" w14:textId="77777777" w:rsidTr="6296CD8E">
        <w:trPr>
          <w:trHeight w:val="561"/>
        </w:trPr>
        <w:tc>
          <w:tcPr>
            <w:tcW w:w="2263" w:type="dxa"/>
          </w:tcPr>
          <w:p w14:paraId="29E99C00" w14:textId="77777777" w:rsidR="007D1F89" w:rsidRPr="00F33A4A" w:rsidRDefault="6296CD8E" w:rsidP="6296CD8E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bCs/>
                <w:lang w:val="en-US"/>
              </w:rPr>
            </w:pPr>
            <w:r w:rsidRPr="6296CD8E">
              <w:rPr>
                <w:rFonts w:ascii="Calibri" w:hAnsi="Calibri"/>
                <w:b/>
                <w:bCs/>
                <w:lang w:val="en-US"/>
              </w:rPr>
              <w:t>Public Organization</w:t>
            </w:r>
          </w:p>
        </w:tc>
        <w:tc>
          <w:tcPr>
            <w:tcW w:w="6174" w:type="dxa"/>
          </w:tcPr>
          <w:p w14:paraId="31B9943B" w14:textId="55393D8F" w:rsidR="007D1F89" w:rsidRPr="00072EE3" w:rsidRDefault="6296CD8E" w:rsidP="6296CD8E">
            <w:pPr>
              <w:rPr>
                <w:b/>
                <w:bCs/>
              </w:rPr>
            </w:pPr>
            <w:r w:rsidRPr="6296CD8E">
              <w:rPr>
                <w:b/>
                <w:bCs/>
              </w:rPr>
              <w:t>Ανώτατο Συμβούλιο Επιλογής Προσωπικού</w:t>
            </w:r>
          </w:p>
        </w:tc>
      </w:tr>
      <w:tr w:rsidR="007D1F89" w:rsidRPr="00F33A4A" w14:paraId="0D843314" w14:textId="77777777" w:rsidTr="00485F50">
        <w:trPr>
          <w:trHeight w:val="2395"/>
        </w:trPr>
        <w:tc>
          <w:tcPr>
            <w:tcW w:w="2263" w:type="dxa"/>
          </w:tcPr>
          <w:p w14:paraId="486204EA" w14:textId="77777777" w:rsidR="007D1F89" w:rsidRPr="00F33A4A" w:rsidRDefault="6296CD8E" w:rsidP="6296CD8E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bCs/>
                <w:lang w:val="en-US"/>
              </w:rPr>
            </w:pPr>
            <w:r w:rsidRPr="6296CD8E">
              <w:rPr>
                <w:rFonts w:ascii="Calibri" w:hAnsi="Calibri"/>
                <w:b/>
                <w:bCs/>
                <w:lang w:val="en-US"/>
              </w:rPr>
              <w:t>Service Description</w:t>
            </w:r>
          </w:p>
        </w:tc>
        <w:tc>
          <w:tcPr>
            <w:tcW w:w="6174" w:type="dxa"/>
          </w:tcPr>
          <w:p w14:paraId="3431D75A" w14:textId="118907EC" w:rsidR="00F47958" w:rsidRPr="00F47958" w:rsidRDefault="6296CD8E" w:rsidP="00532879">
            <w:bookmarkStart w:id="3" w:name="OLE_LINK1"/>
            <w:bookmarkStart w:id="4" w:name="OLE_LINK2"/>
            <w:bookmarkStart w:id="5" w:name="OLE_LINK3"/>
            <w:r>
              <w:t xml:space="preserve">Η διαδικασία περιλαμβάνει τα στάδια που έπονται της ανακοίνωσης διαγ/μού από το ΑΣΕΠ για την πρόσληψη προσωπικού, </w:t>
            </w:r>
            <w:r w:rsidR="00532879">
              <w:t>δηλαδή</w:t>
            </w:r>
            <w:r w:rsidR="005847CF">
              <w:t xml:space="preserve"> </w:t>
            </w:r>
            <w:bookmarkStart w:id="6" w:name="_GoBack"/>
            <w:bookmarkEnd w:id="6"/>
            <w:r w:rsidR="00532879">
              <w:t xml:space="preserve">την εγγραφή στο μητρώο υποψηφίων του ΑΣΕΠ και </w:t>
            </w:r>
            <w:r w:rsidR="002C1294">
              <w:t>την υποβολή της ηλεκτρ. α</w:t>
            </w:r>
            <w:r>
              <w:t xml:space="preserve">ίτησης συμμετοχής από τους υποψήφιους </w:t>
            </w:r>
            <w:r w:rsidR="008F7939" w:rsidRPr="003B21FB">
              <w:t xml:space="preserve">, </w:t>
            </w:r>
            <w:r>
              <w:t xml:space="preserve">αλλά και την επεξεργασία </w:t>
            </w:r>
            <w:r w:rsidR="008F7939">
              <w:t xml:space="preserve">και τον έλεγχο </w:t>
            </w:r>
            <w:r>
              <w:t xml:space="preserve">των αιτήσεων, </w:t>
            </w:r>
            <w:r w:rsidR="00532879">
              <w:t>με τελικό προϊόν</w:t>
            </w:r>
            <w:r>
              <w:t xml:space="preserve"> την έκδοση </w:t>
            </w:r>
            <w:r w:rsidR="00532879">
              <w:t xml:space="preserve">και ανακοίνωση </w:t>
            </w:r>
            <w:r>
              <w:t xml:space="preserve">των </w:t>
            </w:r>
            <w:r w:rsidR="00D03654">
              <w:t xml:space="preserve">προσωρινών </w:t>
            </w:r>
            <w:r>
              <w:t>πινάκων κατάταξης και διοριστέων</w:t>
            </w:r>
            <w:r w:rsidR="00532879">
              <w:t>.</w:t>
            </w:r>
            <w:r>
              <w:t xml:space="preserve"> </w:t>
            </w:r>
            <w:bookmarkEnd w:id="3"/>
            <w:bookmarkEnd w:id="4"/>
            <w:bookmarkEnd w:id="5"/>
          </w:p>
        </w:tc>
      </w:tr>
      <w:tr w:rsidR="00F33A4A" w:rsidRPr="00583A92" w14:paraId="77377A35" w14:textId="77777777" w:rsidTr="00485F50">
        <w:trPr>
          <w:trHeight w:val="1834"/>
        </w:trPr>
        <w:tc>
          <w:tcPr>
            <w:tcW w:w="2263" w:type="dxa"/>
          </w:tcPr>
          <w:p w14:paraId="31D8EA45" w14:textId="77777777" w:rsidR="00F33A4A" w:rsidRPr="002C1294" w:rsidRDefault="6296CD8E" w:rsidP="6296CD8E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bCs/>
              </w:rPr>
            </w:pPr>
            <w:r w:rsidRPr="6296CD8E">
              <w:rPr>
                <w:rFonts w:ascii="Calibri" w:hAnsi="Calibri"/>
                <w:b/>
                <w:bCs/>
                <w:lang w:val="en-US"/>
              </w:rPr>
              <w:t>Describe</w:t>
            </w:r>
            <w:r w:rsidRPr="002C1294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delivery</w:t>
            </w:r>
            <w:r w:rsidRPr="002C1294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channels</w:t>
            </w:r>
            <w:r w:rsidRPr="002C1294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for</w:t>
            </w:r>
            <w:r w:rsidRPr="002C1294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the</w:t>
            </w:r>
            <w:r w:rsidRPr="002C1294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public</w:t>
            </w:r>
            <w:r w:rsidRPr="002C1294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service</w:t>
            </w:r>
            <w:r w:rsidRPr="002C1294">
              <w:rPr>
                <w:rFonts w:ascii="Calibri" w:hAnsi="Calibri"/>
                <w:b/>
                <w:bCs/>
              </w:rPr>
              <w:t xml:space="preserve">  </w:t>
            </w:r>
          </w:p>
          <w:p w14:paraId="54946C69" w14:textId="77777777" w:rsidR="00F33A4A" w:rsidRPr="002C1294" w:rsidRDefault="00F33A4A" w:rsidP="007F7672">
            <w:pPr>
              <w:ind w:left="29" w:hanging="29"/>
              <w:rPr>
                <w:b/>
              </w:rPr>
            </w:pPr>
          </w:p>
        </w:tc>
        <w:tc>
          <w:tcPr>
            <w:tcW w:w="6174" w:type="dxa"/>
          </w:tcPr>
          <w:p w14:paraId="5339762A" w14:textId="3A15E18C" w:rsidR="00532879" w:rsidRDefault="00532879" w:rsidP="00583A92">
            <w:pPr>
              <w:pStyle w:val="ListParagraph"/>
              <w:numPr>
                <w:ilvl w:val="0"/>
                <w:numId w:val="5"/>
              </w:numPr>
            </w:pPr>
            <w:r>
              <w:t xml:space="preserve">Οι υπηρεσίες «εγγραφή στο μητρώο υποψηφίων» και «συμπλήρωση και υποβολή αίτησης συμμετοχής» προσφέρεται στους υποψηφίους ηλεκτρονικά μέσω του </w:t>
            </w:r>
            <w:r>
              <w:rPr>
                <w:lang w:val="en-US"/>
              </w:rPr>
              <w:t>portal</w:t>
            </w:r>
            <w:r w:rsidRPr="003B21FB">
              <w:t xml:space="preserve"> </w:t>
            </w:r>
            <w:r>
              <w:t>του ΑΣΕΠ</w:t>
            </w:r>
            <w:r w:rsidRPr="003B21FB">
              <w:t>.</w:t>
            </w:r>
          </w:p>
          <w:p w14:paraId="672A7F0E" w14:textId="687E0E1E" w:rsidR="00583A92" w:rsidRPr="00583A92" w:rsidRDefault="00532879" w:rsidP="00532879">
            <w:pPr>
              <w:pStyle w:val="ListParagraph"/>
              <w:numPr>
                <w:ilvl w:val="0"/>
                <w:numId w:val="5"/>
              </w:numPr>
            </w:pPr>
            <w:r>
              <w:t xml:space="preserve">Η υπηρεσία </w:t>
            </w:r>
            <w:r w:rsidR="003B21FB">
              <w:t>«</w:t>
            </w:r>
            <w:r>
              <w:t>δ</w:t>
            </w:r>
            <w:r w:rsidR="00583A92">
              <w:t>ημοσιοποίηση αποτελεσμάτων</w:t>
            </w:r>
            <w:r>
              <w:t xml:space="preserve"> διαγωνισμού»</w:t>
            </w:r>
            <w:r w:rsidR="00583A92">
              <w:t xml:space="preserve"> </w:t>
            </w:r>
            <w:r>
              <w:t xml:space="preserve">παρέχεται </w:t>
            </w:r>
            <w:r w:rsidR="00583A92">
              <w:t xml:space="preserve">ηλεκτρονικά στο </w:t>
            </w:r>
            <w:r w:rsidR="00583A92" w:rsidRPr="00583A92">
              <w:rPr>
                <w:lang w:val="en-US"/>
              </w:rPr>
              <w:t>portal</w:t>
            </w:r>
            <w:r w:rsidR="00583A92" w:rsidRPr="00583A92">
              <w:t xml:space="preserve"> </w:t>
            </w:r>
            <w:r w:rsidR="00583A92">
              <w:t>του ΑΣΕΠ</w:t>
            </w:r>
            <w:r w:rsidR="00C43C26">
              <w:t xml:space="preserve">, με ανάρτηση πινάκων </w:t>
            </w:r>
            <w:r w:rsidR="00C43C26">
              <w:rPr>
                <w:lang w:val="en-US"/>
              </w:rPr>
              <w:t>excel</w:t>
            </w:r>
            <w:r w:rsidR="00C43C26" w:rsidRPr="003B21FB">
              <w:t xml:space="preserve"> </w:t>
            </w:r>
            <w:r w:rsidR="00C43C26">
              <w:t>και μέσω δυναμικής αναζήτησης αποτελεσμάτων</w:t>
            </w:r>
            <w:r w:rsidR="00583A92">
              <w:t>.</w:t>
            </w:r>
          </w:p>
        </w:tc>
      </w:tr>
      <w:tr w:rsidR="003B21FB" w:rsidRPr="00C23FCA" w14:paraId="4ED59911" w14:textId="77777777" w:rsidTr="6296CD8E">
        <w:tc>
          <w:tcPr>
            <w:tcW w:w="2263" w:type="dxa"/>
          </w:tcPr>
          <w:p w14:paraId="75ADC901" w14:textId="77777777" w:rsidR="003B21FB" w:rsidRPr="005F0001" w:rsidRDefault="003B21FB" w:rsidP="6296CD8E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bCs/>
                <w:lang w:val="en-US"/>
              </w:rPr>
            </w:pPr>
            <w:r w:rsidRPr="6296CD8E">
              <w:rPr>
                <w:rFonts w:ascii="Calibri" w:hAnsi="Calibri"/>
                <w:b/>
                <w:bCs/>
                <w:lang w:val="en-US"/>
              </w:rPr>
              <w:t>Describe External Services, consumed by the Public Service</w:t>
            </w:r>
          </w:p>
          <w:p w14:paraId="1308F1E2" w14:textId="77777777" w:rsidR="003B21FB" w:rsidRPr="005F0001" w:rsidRDefault="003B21FB" w:rsidP="007F7672">
            <w:pPr>
              <w:pStyle w:val="ListParagraph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  <w:p w14:paraId="286BB2F6" w14:textId="77777777" w:rsidR="003B21FB" w:rsidRPr="005F0001" w:rsidRDefault="003B21FB" w:rsidP="007F7672">
            <w:pPr>
              <w:pStyle w:val="ListParagraph"/>
              <w:tabs>
                <w:tab w:val="left" w:pos="171"/>
              </w:tabs>
              <w:ind w:left="29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174" w:type="dxa"/>
          </w:tcPr>
          <w:p w14:paraId="3D027D47" w14:textId="77777777" w:rsidR="003B21FB" w:rsidRDefault="003B21FB" w:rsidP="001F4775">
            <w:pPr>
              <w:pStyle w:val="ListParagraph"/>
              <w:numPr>
                <w:ilvl w:val="0"/>
                <w:numId w:val="6"/>
              </w:numPr>
            </w:pPr>
            <w:r>
              <w:t>Αυθεντικοποίηση χρηστών ηλεκτρ. Υπηρεσιών ΑΣΕΠ μέσω ΓΓΠΣ</w:t>
            </w:r>
          </w:p>
          <w:p w14:paraId="238CE895" w14:textId="77777777" w:rsidR="003B21FB" w:rsidRDefault="003B21FB" w:rsidP="001F4775">
            <w:pPr>
              <w:pStyle w:val="ListParagraph"/>
              <w:numPr>
                <w:ilvl w:val="0"/>
                <w:numId w:val="6"/>
              </w:numPr>
            </w:pPr>
            <w:r>
              <w:t>Επιβεβαίωση ΑΜΚΑ μέσω διαλ/τας με ΗΔΙΚΑ</w:t>
            </w:r>
          </w:p>
          <w:p w14:paraId="35BFFD3A" w14:textId="05EB88CC" w:rsidR="003B21FB" w:rsidRDefault="003B21FB" w:rsidP="001F4775">
            <w:pPr>
              <w:pStyle w:val="ListParagraph"/>
              <w:numPr>
                <w:ilvl w:val="0"/>
                <w:numId w:val="6"/>
              </w:numPr>
            </w:pPr>
            <w:r>
              <w:t xml:space="preserve">Στο μητρώο υποψηφίων του ΑΣΕΠ, </w:t>
            </w:r>
            <w:r w:rsidR="004D460F">
              <w:t>θα χρησιμοποιούνται οι εξής εξωτερικές υπηρεσίες</w:t>
            </w:r>
            <w:r>
              <w:t>:</w:t>
            </w:r>
          </w:p>
          <w:p w14:paraId="2162721D" w14:textId="77777777" w:rsidR="003B21FB" w:rsidRPr="00485F50" w:rsidRDefault="003B21FB" w:rsidP="001F4775">
            <w:pPr>
              <w:pStyle w:val="ListParagraph"/>
              <w:numPr>
                <w:ilvl w:val="1"/>
                <w:numId w:val="6"/>
              </w:numPr>
              <w:ind w:left="750"/>
            </w:pPr>
            <w:r>
              <w:t xml:space="preserve">Άντληση στοιχείων τίτλων σπουδών από </w:t>
            </w:r>
            <w:r>
              <w:rPr>
                <w:lang w:val="en-US"/>
              </w:rPr>
              <w:t>GUNET</w:t>
            </w:r>
          </w:p>
          <w:p w14:paraId="58C0866B" w14:textId="77777777" w:rsidR="003B21FB" w:rsidRDefault="003B21FB" w:rsidP="001F4775">
            <w:pPr>
              <w:pStyle w:val="ListParagraph"/>
              <w:numPr>
                <w:ilvl w:val="1"/>
                <w:numId w:val="6"/>
              </w:numPr>
              <w:ind w:left="750"/>
            </w:pPr>
            <w:r>
              <w:t>Άντληση στοιχείων ασφάλισης (για απόδειξη εμπειρίας) από ΙΚΑ</w:t>
            </w:r>
          </w:p>
          <w:p w14:paraId="6CF1A670" w14:textId="77777777" w:rsidR="003B21FB" w:rsidRDefault="003B21FB" w:rsidP="001F4775">
            <w:pPr>
              <w:pStyle w:val="ListParagraph"/>
              <w:numPr>
                <w:ilvl w:val="1"/>
                <w:numId w:val="6"/>
              </w:numPr>
              <w:ind w:left="750"/>
            </w:pPr>
            <w:r>
              <w:t xml:space="preserve">Άντληση στοιχείων αδειών εξάσκησης επαγγέλματος από το ΤΕΕ </w:t>
            </w:r>
          </w:p>
          <w:p w14:paraId="0D8B024A" w14:textId="77777777" w:rsidR="003B21FB" w:rsidRPr="00485F50" w:rsidRDefault="003B21FB" w:rsidP="001F4775">
            <w:pPr>
              <w:pStyle w:val="ListParagraph"/>
              <w:numPr>
                <w:ilvl w:val="1"/>
                <w:numId w:val="6"/>
              </w:numPr>
              <w:ind w:left="750"/>
            </w:pPr>
            <w:r>
              <w:t xml:space="preserve">Άντληση στοιχείων οικογενειακής κατάστασης </w:t>
            </w:r>
            <w:r w:rsidRPr="00485F50">
              <w:t xml:space="preserve">από το </w:t>
            </w:r>
            <w:r>
              <w:t>Εθνικό Δημοτολόγιο</w:t>
            </w:r>
            <w:r w:rsidRPr="00485F50">
              <w:t xml:space="preserve"> </w:t>
            </w:r>
          </w:p>
          <w:p w14:paraId="28E37E11" w14:textId="77777777" w:rsidR="003B21FB" w:rsidRDefault="003B21FB" w:rsidP="001F4775">
            <w:pPr>
              <w:pStyle w:val="ListParagraph"/>
              <w:numPr>
                <w:ilvl w:val="1"/>
                <w:numId w:val="6"/>
              </w:numPr>
              <w:ind w:left="750"/>
            </w:pPr>
            <w:r>
              <w:t>Άντληση στοιχείων ανεργίας από ΟΑΕΔ</w:t>
            </w:r>
          </w:p>
          <w:p w14:paraId="3A6819F5" w14:textId="77777777" w:rsidR="003B21FB" w:rsidRDefault="003B21FB" w:rsidP="001F4775">
            <w:pPr>
              <w:pStyle w:val="ListParagraph"/>
              <w:numPr>
                <w:ilvl w:val="0"/>
                <w:numId w:val="6"/>
              </w:numPr>
            </w:pPr>
            <w:r>
              <w:t>Μαζική διαχείριση ηλεκτρ. Παραβόλων προκ/ξης (ερώτηση κατάστασης και δέσμευση) μέσω διαλ/τας με ΓΓΠΣ.</w:t>
            </w:r>
          </w:p>
          <w:p w14:paraId="39F6054D" w14:textId="2699126E" w:rsidR="003B21FB" w:rsidRPr="00C23FCA" w:rsidRDefault="003B21FB" w:rsidP="00485F50"/>
        </w:tc>
      </w:tr>
      <w:tr w:rsidR="007D1F89" w:rsidRPr="00F33A4A" w14:paraId="0B36E042" w14:textId="77777777" w:rsidTr="6296CD8E">
        <w:trPr>
          <w:trHeight w:val="2854"/>
        </w:trPr>
        <w:tc>
          <w:tcPr>
            <w:tcW w:w="2263" w:type="dxa"/>
          </w:tcPr>
          <w:p w14:paraId="1E0574B0" w14:textId="77777777" w:rsidR="007D1F89" w:rsidRPr="00C23FCA" w:rsidRDefault="6296CD8E" w:rsidP="6296CD8E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rPr>
                <w:rFonts w:ascii="Calibri" w:hAnsi="Calibri"/>
                <w:b/>
                <w:bCs/>
              </w:rPr>
            </w:pPr>
            <w:r w:rsidRPr="6296CD8E">
              <w:rPr>
                <w:rFonts w:ascii="Calibri" w:hAnsi="Calibri"/>
                <w:b/>
                <w:bCs/>
                <w:lang w:val="en-US"/>
              </w:rPr>
              <w:t>Describe</w:t>
            </w:r>
            <w:r w:rsidRPr="6296CD8E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the</w:t>
            </w:r>
            <w:r w:rsidRPr="00C23FCA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Service</w:t>
            </w:r>
            <w:r w:rsidRPr="00C23FCA">
              <w:rPr>
                <w:rFonts w:ascii="Calibri" w:hAnsi="Calibri"/>
                <w:b/>
                <w:bCs/>
              </w:rPr>
              <w:t xml:space="preserve"> </w:t>
            </w:r>
            <w:r w:rsidRPr="6296CD8E">
              <w:rPr>
                <w:rFonts w:ascii="Calibri" w:hAnsi="Calibri"/>
                <w:b/>
                <w:bCs/>
                <w:lang w:val="en-US"/>
              </w:rPr>
              <w:t>Workflow</w:t>
            </w:r>
          </w:p>
        </w:tc>
        <w:tc>
          <w:tcPr>
            <w:tcW w:w="6174" w:type="dxa"/>
          </w:tcPr>
          <w:p w14:paraId="1E8FA419" w14:textId="2F828585" w:rsidR="007D1F89" w:rsidRPr="00C43C26" w:rsidRDefault="6296CD8E">
            <w:r>
              <w:t>(1) Το ΑΣΕΠ προκηρύσσει διαγ/μούς για πρόσληψη προσωπικού σε φορείς του δημοσίου.</w:t>
            </w:r>
            <w:r w:rsidR="00C43C26">
              <w:t xml:space="preserve">  Η προκ/ξη ανοίγει για ηλεκτρ. αιτήσεις 10 ημέρες μετά τη δημοσίευσή της στο ΦΕΚ. Στο κεντρικό σύστημα του ΑΣΕΠ καταχωρείται η ημ/νία έναρξης υποβολής αιτήσεων και γίνεται αυτόματη ενεργοποίηση της ηλεκτρ. αίτησης στο </w:t>
            </w:r>
            <w:r w:rsidR="00C43C26">
              <w:rPr>
                <w:lang w:val="en-US"/>
              </w:rPr>
              <w:t>portal</w:t>
            </w:r>
            <w:r w:rsidR="00C43C26" w:rsidRPr="003B21FB">
              <w:t>.</w:t>
            </w:r>
          </w:p>
          <w:p w14:paraId="30A6C32E" w14:textId="77777777" w:rsidR="00485F50" w:rsidRPr="000773AD" w:rsidRDefault="00485F50"/>
          <w:p w14:paraId="0791B345" w14:textId="46651897" w:rsidR="007D1F89" w:rsidRPr="000773AD" w:rsidRDefault="6296CD8E" w:rsidP="6296CD8E">
            <w:r>
              <w:t>(2) Οι ενδιαφερόμενοι, αφού δημιουργήσουν λογ/μό στις ηλεκτρονικές υπηρεσίες του ΑΣΕΠ, συμπληρώνουν στο μητρώο τους τα προσόντα/ ιδιότητες που κατέχουν,</w:t>
            </w:r>
            <w:r w:rsidR="0006542E">
              <w:t xml:space="preserve"> σε κάποιες περιπτώσεις και με αυτόματη άντληση από τον φορέα μέσω διαλ/τας)</w:t>
            </w:r>
            <w:r>
              <w:t xml:space="preserve"> όπως:</w:t>
            </w:r>
          </w:p>
          <w:p w14:paraId="3BA2F3B7" w14:textId="0E9F90D8" w:rsidR="007D1F89" w:rsidRPr="000773AD" w:rsidRDefault="6296CD8E" w:rsidP="6296CD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Τίτλοι σπουδών/ γλωσσομάθειας,</w:t>
            </w:r>
          </w:p>
          <w:p w14:paraId="05412482" w14:textId="07B4D623" w:rsidR="007D1F89" w:rsidRPr="000773AD" w:rsidRDefault="6296CD8E" w:rsidP="6296CD8E">
            <w:pPr>
              <w:pStyle w:val="ListParagraph"/>
              <w:numPr>
                <w:ilvl w:val="0"/>
                <w:numId w:val="1"/>
              </w:numPr>
            </w:pPr>
            <w:r>
              <w:t xml:space="preserve">Μεταπτυχιακοί/ διδακτορικοί τίτλοι, </w:t>
            </w:r>
          </w:p>
          <w:p w14:paraId="3DA9353E" w14:textId="407B6AA5" w:rsidR="007D1F89" w:rsidRPr="000773AD" w:rsidRDefault="6296CD8E" w:rsidP="6296CD8E">
            <w:pPr>
              <w:pStyle w:val="ListParagraph"/>
              <w:numPr>
                <w:ilvl w:val="0"/>
                <w:numId w:val="1"/>
              </w:numPr>
            </w:pPr>
            <w:r>
              <w:t xml:space="preserve">Άδειες εξάσκησης επαγγέλματος, </w:t>
            </w:r>
          </w:p>
          <w:p w14:paraId="186E6859" w14:textId="1E1F81AF" w:rsidR="007D1F89" w:rsidRPr="000773AD" w:rsidRDefault="6296CD8E" w:rsidP="6296CD8E">
            <w:pPr>
              <w:pStyle w:val="ListParagraph"/>
              <w:numPr>
                <w:ilvl w:val="0"/>
                <w:numId w:val="1"/>
              </w:numPr>
            </w:pPr>
            <w:r>
              <w:t>Προηγούμενη εμπειρία/ στοιχεία ασφάλισης</w:t>
            </w:r>
          </w:p>
          <w:p w14:paraId="1FAABE82" w14:textId="2B13BDFF" w:rsidR="007D1F89" w:rsidRPr="000773AD" w:rsidRDefault="6296CD8E" w:rsidP="6296CD8E">
            <w:pPr>
              <w:pStyle w:val="ListParagraph"/>
              <w:numPr>
                <w:ilvl w:val="0"/>
                <w:numId w:val="1"/>
              </w:numPr>
            </w:pPr>
            <w:r>
              <w:t>Στοιχεία οικογενειακής κατάστασης,</w:t>
            </w:r>
          </w:p>
          <w:p w14:paraId="403ABC34" w14:textId="65DDD257" w:rsidR="007D1F89" w:rsidRPr="000773AD" w:rsidRDefault="6296CD8E" w:rsidP="6296CD8E">
            <w:pPr>
              <w:pStyle w:val="ListParagraph"/>
              <w:numPr>
                <w:ilvl w:val="0"/>
                <w:numId w:val="1"/>
              </w:numPr>
            </w:pPr>
            <w:r>
              <w:t>Στοιχεία μόνιμης κατοικίας,</w:t>
            </w:r>
          </w:p>
          <w:p w14:paraId="7637FFED" w14:textId="6B75D2BC" w:rsidR="007D1F89" w:rsidRDefault="6296CD8E" w:rsidP="6296CD8E">
            <w:pPr>
              <w:pStyle w:val="ListParagraph"/>
              <w:numPr>
                <w:ilvl w:val="0"/>
                <w:numId w:val="1"/>
              </w:numPr>
            </w:pPr>
            <w:r>
              <w:t>Στοιχεία ανεργίας, κλπ</w:t>
            </w:r>
          </w:p>
          <w:p w14:paraId="22226857" w14:textId="45E0F230" w:rsidR="004C14CC" w:rsidRDefault="004C14CC" w:rsidP="004C14CC">
            <w:r>
              <w:t xml:space="preserve">Στους ενδιαφερόμενους </w:t>
            </w:r>
            <w:r w:rsidR="00485F50">
              <w:t>παρέχεται</w:t>
            </w:r>
            <w:r>
              <w:t xml:space="preserve"> και η δυνατότητα επισύναψης σκαναρισμένων δικαιολογητικών.</w:t>
            </w:r>
          </w:p>
          <w:p w14:paraId="265DE06B" w14:textId="77777777" w:rsidR="00485F50" w:rsidRPr="000773AD" w:rsidRDefault="00485F50" w:rsidP="004C14CC"/>
          <w:p w14:paraId="6E7F1B9E" w14:textId="7A7740FC" w:rsidR="007D1F89" w:rsidRDefault="6296CD8E" w:rsidP="6296CD8E">
            <w:r>
              <w:t>(3) Οι ενδιαφερόμενοι εισέρχονται στις ηλεκτρ. Υπηρεσίες του ΑΣΕΠ και, αφού επιλέξουν τον διαγ/μό, ξεκινούν την συμπλήρωση της ηλεκτρ. αίτησης εισάγοντας τα απαραίτητα στοιχεία για την διεκδίκηση των θέσεων. Παράλληλα επικαλούνται από το μητρώο τους όλα αυτά τα προσόντα/ ιδιότητες που τεκμηριώνουν τα δηλωμένα στην αίτηση στοιχεία τους.</w:t>
            </w:r>
          </w:p>
          <w:p w14:paraId="4C04F4C3" w14:textId="77777777" w:rsidR="00485F50" w:rsidRDefault="00485F50" w:rsidP="6296CD8E"/>
          <w:p w14:paraId="79E66304" w14:textId="61E18C66" w:rsidR="004C14CC" w:rsidRDefault="004C14CC" w:rsidP="6296CD8E">
            <w:r>
              <w:t>(4) Το ΑΣΕΠ παραλαμβάνει τις ηλεκτρ.</w:t>
            </w:r>
            <w:r w:rsidR="003C4A83">
              <w:t xml:space="preserve"> Αιτήσεις και παράγει τους πρώτου</w:t>
            </w:r>
            <w:r>
              <w:t>ς πίνακες κατάταξης και διοριστέων, τα αρχικά αποτελέσματα. Στη συνέχεια πραγματοποιούνται έλεγχοι στα δηλωμένα στοιχεία που συνεπάγονται και τη διενέργεια μεταβολών στα στοιχεία των υποψηφίων.</w:t>
            </w:r>
            <w:r w:rsidR="0006542E">
              <w:t xml:space="preserve"> Για διευκόλυνση της διαδικασίας επιβεβαίωσης των στοιχείων, υπάρχει η δυνατότητα μαζικών ή μεμονωμένων κλήσεων διαλ/τας στους εκάστοτε φορείς.</w:t>
            </w:r>
          </w:p>
          <w:p w14:paraId="1EC9645D" w14:textId="77777777" w:rsidR="00485F50" w:rsidRDefault="00485F50" w:rsidP="6296CD8E"/>
          <w:p w14:paraId="488F40AB" w14:textId="2F1C0FD7" w:rsidR="00C23FCA" w:rsidRDefault="00C23FCA" w:rsidP="6296CD8E">
            <w:r>
              <w:t>(5) Μέσω διαλ/τας με ΓΓΠΣ πραγματοποιείται έλεγχος κατάστασης και δέσμευση των ηλεκτρ. Παραβόλων που κατατέθηκαν από τους υποψήφιους.</w:t>
            </w:r>
          </w:p>
          <w:p w14:paraId="62986C97" w14:textId="77777777" w:rsidR="00485F50" w:rsidRDefault="00485F50" w:rsidP="6296CD8E"/>
          <w:p w14:paraId="2CCD8681" w14:textId="1247F988" w:rsidR="007D1F89" w:rsidRPr="000773AD" w:rsidRDefault="004C14CC" w:rsidP="003B21FB">
            <w:r>
              <w:t>(</w:t>
            </w:r>
            <w:r w:rsidR="00C23FCA">
              <w:t>6</w:t>
            </w:r>
            <w:r>
              <w:t>) Ανακοινώνονται τα προσωρινά αποτελέσματα</w:t>
            </w:r>
          </w:p>
        </w:tc>
      </w:tr>
      <w:tr w:rsidR="007D1F89" w:rsidRPr="008A5318" w14:paraId="355D7830" w14:textId="77777777" w:rsidTr="6296CD8E">
        <w:trPr>
          <w:trHeight w:val="2124"/>
        </w:trPr>
        <w:tc>
          <w:tcPr>
            <w:tcW w:w="2263" w:type="dxa"/>
          </w:tcPr>
          <w:p w14:paraId="775C88E5" w14:textId="77777777" w:rsidR="007D1F89" w:rsidRPr="00F33A4A" w:rsidRDefault="6296CD8E" w:rsidP="6296CD8E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</w:tabs>
              <w:ind w:left="29" w:hanging="29"/>
              <w:rPr>
                <w:b/>
                <w:bCs/>
                <w:lang w:val="en-US"/>
              </w:rPr>
            </w:pPr>
            <w:r w:rsidRPr="6296CD8E">
              <w:rPr>
                <w:rFonts w:ascii="Calibri" w:hAnsi="Calibri"/>
                <w:b/>
                <w:bCs/>
                <w:lang w:val="en-US"/>
              </w:rPr>
              <w:lastRenderedPageBreak/>
              <w:t>Describe any other useful information</w:t>
            </w:r>
          </w:p>
        </w:tc>
        <w:tc>
          <w:tcPr>
            <w:tcW w:w="6174" w:type="dxa"/>
          </w:tcPr>
          <w:p w14:paraId="04553F58" w14:textId="77777777" w:rsidR="007D1F89" w:rsidRPr="00F33A4A" w:rsidRDefault="007D1F89">
            <w:pPr>
              <w:rPr>
                <w:lang w:val="en-US"/>
              </w:rPr>
            </w:pPr>
          </w:p>
        </w:tc>
      </w:tr>
    </w:tbl>
    <w:p w14:paraId="1FA8C6C3" w14:textId="77777777" w:rsidR="00A61FBF" w:rsidRPr="00F33A4A" w:rsidRDefault="00A61FBF">
      <w:pPr>
        <w:rPr>
          <w:lang w:val="en-US"/>
        </w:rPr>
      </w:pPr>
    </w:p>
    <w:sectPr w:rsidR="00A61FBF" w:rsidRPr="00F33A4A" w:rsidSect="00870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63C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4C6"/>
    <w:multiLevelType w:val="hybridMultilevel"/>
    <w:tmpl w:val="2B4C67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818B5"/>
    <w:multiLevelType w:val="hybridMultilevel"/>
    <w:tmpl w:val="F26E22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BE5B90"/>
    <w:multiLevelType w:val="hybridMultilevel"/>
    <w:tmpl w:val="94C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4B9D"/>
    <w:multiLevelType w:val="hybridMultilevel"/>
    <w:tmpl w:val="24D2001A"/>
    <w:lvl w:ilvl="0" w:tplc="3500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4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81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B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7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6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0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2C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54ADE"/>
    <w:multiLevelType w:val="hybridMultilevel"/>
    <w:tmpl w:val="B27E3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9"/>
    <w:rsid w:val="0006542E"/>
    <w:rsid w:val="00072EE3"/>
    <w:rsid w:val="000773AD"/>
    <w:rsid w:val="001E27F9"/>
    <w:rsid w:val="002B6C43"/>
    <w:rsid w:val="002C1294"/>
    <w:rsid w:val="003B21FB"/>
    <w:rsid w:val="003C4A83"/>
    <w:rsid w:val="00471E5C"/>
    <w:rsid w:val="00485F50"/>
    <w:rsid w:val="004C14CC"/>
    <w:rsid w:val="004D460F"/>
    <w:rsid w:val="00532879"/>
    <w:rsid w:val="00583A92"/>
    <w:rsid w:val="005847CF"/>
    <w:rsid w:val="005A359A"/>
    <w:rsid w:val="005F0001"/>
    <w:rsid w:val="006E7B74"/>
    <w:rsid w:val="006F30B4"/>
    <w:rsid w:val="00752EDB"/>
    <w:rsid w:val="007D1F89"/>
    <w:rsid w:val="007F7672"/>
    <w:rsid w:val="00870A3B"/>
    <w:rsid w:val="008A5318"/>
    <w:rsid w:val="008E7D88"/>
    <w:rsid w:val="008F7939"/>
    <w:rsid w:val="009C1571"/>
    <w:rsid w:val="00A61FBF"/>
    <w:rsid w:val="00AA66B6"/>
    <w:rsid w:val="00BD7EF7"/>
    <w:rsid w:val="00C23FCA"/>
    <w:rsid w:val="00C43C26"/>
    <w:rsid w:val="00C44BE7"/>
    <w:rsid w:val="00C57722"/>
    <w:rsid w:val="00C9756C"/>
    <w:rsid w:val="00D03654"/>
    <w:rsid w:val="00E27359"/>
    <w:rsid w:val="00EC355C"/>
    <w:rsid w:val="00F33A4A"/>
    <w:rsid w:val="00F47958"/>
    <w:rsid w:val="00F54E00"/>
    <w:rsid w:val="6296C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B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ΘΟΔΩΡΗΣ ΠΑΠΑΔΟΠΟΥΛΟΣ</dc:creator>
  <cp:lastModifiedBy>panazita</cp:lastModifiedBy>
  <cp:revision>4</cp:revision>
  <dcterms:created xsi:type="dcterms:W3CDTF">2017-11-03T09:27:00Z</dcterms:created>
  <dcterms:modified xsi:type="dcterms:W3CDTF">2017-11-05T17:47:00Z</dcterms:modified>
</cp:coreProperties>
</file>