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77" w:rsidRPr="00D66C82" w:rsidRDefault="00A51777" w:rsidP="00A51777">
      <w:pPr>
        <w:pStyle w:val="epikefalida2"/>
        <w:numPr>
          <w:ilvl w:val="0"/>
          <w:numId w:val="0"/>
        </w:numPr>
        <w:ind w:left="1080"/>
        <w:outlineLvl w:val="1"/>
        <w:rPr>
          <w:rFonts w:ascii="Times New Roman" w:hAnsi="Times New Roman"/>
          <w:sz w:val="24"/>
          <w:szCs w:val="24"/>
        </w:rPr>
      </w:pPr>
    </w:p>
    <w:p w:rsidR="00A51777" w:rsidRPr="00CA7DC6" w:rsidRDefault="00A51777" w:rsidP="00CA7DC6">
      <w:pPr>
        <w:pStyle w:val="epikefalida2"/>
        <w:numPr>
          <w:ilvl w:val="0"/>
          <w:numId w:val="0"/>
        </w:numPr>
        <w:jc w:val="center"/>
        <w:outlineLvl w:val="1"/>
        <w:rPr>
          <w:rFonts w:ascii="Times New Roman" w:hAnsi="Times New Roman"/>
          <w:color w:val="000000" w:themeColor="text1"/>
          <w:sz w:val="32"/>
          <w:szCs w:val="32"/>
        </w:rPr>
      </w:pPr>
      <w:bookmarkStart w:id="0" w:name="_Toc376442159"/>
      <w:bookmarkStart w:id="1" w:name="_Toc375235988"/>
      <w:r w:rsidRPr="00CA7DC6">
        <w:rPr>
          <w:rFonts w:ascii="Times New Roman" w:hAnsi="Times New Roman"/>
          <w:color w:val="000000" w:themeColor="text1"/>
          <w:sz w:val="32"/>
          <w:szCs w:val="32"/>
        </w:rPr>
        <w:t>Έκθεση Διαβούλευσης</w:t>
      </w:r>
      <w:bookmarkEnd w:id="0"/>
      <w:bookmarkEnd w:id="1"/>
    </w:p>
    <w:p w:rsidR="00A51777" w:rsidRPr="0001556F" w:rsidRDefault="00A51777" w:rsidP="00A51777">
      <w:pPr>
        <w:ind w:left="720"/>
        <w:jc w:val="both"/>
        <w:rPr>
          <w:rFonts w:ascii="Times New Roman" w:hAnsi="Times New Roman"/>
          <w:b/>
          <w:color w:val="000000" w:themeColor="text1"/>
          <w:sz w:val="24"/>
          <w:szCs w:val="24"/>
          <w:lang w:val="el-GR"/>
        </w:rPr>
      </w:pPr>
      <w:r w:rsidRPr="0001556F">
        <w:rPr>
          <w:rFonts w:ascii="Times New Roman" w:hAnsi="Times New Roman"/>
          <w:b/>
          <w:color w:val="000000" w:themeColor="text1"/>
          <w:sz w:val="24"/>
          <w:szCs w:val="24"/>
          <w:lang w:val="el-GR"/>
        </w:rPr>
        <w:t xml:space="preserve">Α. Ταυτότητα </w:t>
      </w:r>
      <w:r w:rsidR="00477DF0" w:rsidRPr="0001556F">
        <w:rPr>
          <w:rFonts w:ascii="Times New Roman" w:hAnsi="Times New Roman"/>
          <w:b/>
          <w:color w:val="000000" w:themeColor="text1"/>
          <w:sz w:val="24"/>
          <w:szCs w:val="24"/>
          <w:lang w:val="el-GR"/>
        </w:rPr>
        <w:t>Διαβούλευσης</w:t>
      </w:r>
    </w:p>
    <w:tbl>
      <w:tblPr>
        <w:tblW w:w="8505" w:type="dxa"/>
        <w:tblInd w:w="392" w:type="dxa"/>
        <w:tblLook w:val="04A0" w:firstRow="1" w:lastRow="0" w:firstColumn="1" w:lastColumn="0" w:noHBand="0" w:noVBand="1"/>
      </w:tblPr>
      <w:tblGrid>
        <w:gridCol w:w="4111"/>
        <w:gridCol w:w="4394"/>
      </w:tblGrid>
      <w:tr w:rsidR="00A51777" w:rsidRPr="0001556F" w:rsidTr="004B3A82">
        <w:trPr>
          <w:trHeight w:val="1005"/>
        </w:trPr>
        <w:tc>
          <w:tcPr>
            <w:tcW w:w="4111" w:type="dxa"/>
            <w:tcBorders>
              <w:top w:val="nil"/>
              <w:left w:val="nil"/>
              <w:bottom w:val="single" w:sz="12" w:space="0" w:color="FFFFFF"/>
              <w:right w:val="single" w:sz="4" w:space="0" w:color="FFFFFF"/>
            </w:tcBorders>
            <w:shd w:val="clear" w:color="4F81BD" w:fill="4F81BD"/>
            <w:noWrap/>
            <w:vAlign w:val="bottom"/>
          </w:tcPr>
          <w:p w:rsidR="00A51777" w:rsidRPr="0001556F" w:rsidRDefault="00477DF0" w:rsidP="00477DF0">
            <w:pPr>
              <w:spacing w:after="0" w:line="240" w:lineRule="auto"/>
              <w:rPr>
                <w:rFonts w:ascii="Times New Roman" w:hAnsi="Times New Roman"/>
                <w:b/>
                <w:bCs/>
                <w:color w:val="FFFFFF"/>
                <w:sz w:val="24"/>
                <w:szCs w:val="24"/>
                <w:lang w:val="el-GR" w:eastAsia="el-GR" w:bidi="ar-SA"/>
              </w:rPr>
            </w:pPr>
            <w:r w:rsidRPr="0001556F">
              <w:rPr>
                <w:rFonts w:ascii="Times New Roman" w:hAnsi="Times New Roman"/>
                <w:b/>
                <w:bCs/>
                <w:color w:val="FFFFFF"/>
                <w:sz w:val="24"/>
                <w:szCs w:val="24"/>
                <w:lang w:val="el-GR" w:eastAsia="el-GR" w:bidi="ar-SA"/>
              </w:rPr>
              <w:t>Πληροφοριακά Στοιχεία</w:t>
            </w:r>
          </w:p>
          <w:p w:rsidR="00477DF0" w:rsidRPr="0001556F" w:rsidRDefault="00477DF0" w:rsidP="00477DF0">
            <w:pPr>
              <w:spacing w:after="0" w:line="240" w:lineRule="auto"/>
              <w:rPr>
                <w:rFonts w:ascii="Times New Roman" w:hAnsi="Times New Roman"/>
                <w:b/>
                <w:bCs/>
                <w:color w:val="FFFFFF"/>
                <w:sz w:val="24"/>
                <w:szCs w:val="24"/>
                <w:lang w:val="el-GR" w:eastAsia="el-GR" w:bidi="ar-SA"/>
              </w:rPr>
            </w:pPr>
          </w:p>
        </w:tc>
        <w:tc>
          <w:tcPr>
            <w:tcW w:w="4394" w:type="dxa"/>
            <w:tcBorders>
              <w:top w:val="nil"/>
              <w:left w:val="nil"/>
              <w:bottom w:val="single" w:sz="12" w:space="0" w:color="FFFFFF"/>
              <w:right w:val="nil"/>
            </w:tcBorders>
            <w:shd w:val="clear" w:color="4F81BD" w:fill="4F81BD"/>
            <w:noWrap/>
            <w:vAlign w:val="bottom"/>
          </w:tcPr>
          <w:p w:rsidR="00A51777" w:rsidRPr="0001556F" w:rsidRDefault="00A51777" w:rsidP="00240A4F">
            <w:pPr>
              <w:spacing w:after="0" w:line="240" w:lineRule="auto"/>
              <w:rPr>
                <w:rFonts w:ascii="Times New Roman" w:hAnsi="Times New Roman"/>
                <w:b/>
                <w:bCs/>
                <w:color w:val="FFFFFF"/>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477DF0" w:rsidP="00240A4F">
            <w:pPr>
              <w:spacing w:after="0" w:line="240" w:lineRule="auto"/>
              <w:jc w:val="center"/>
              <w:rPr>
                <w:rFonts w:ascii="Times New Roman" w:hAnsi="Times New Roman"/>
                <w:color w:val="000000"/>
                <w:sz w:val="24"/>
                <w:szCs w:val="24"/>
                <w:lang w:eastAsia="el-GR" w:bidi="ar-SA"/>
              </w:rPr>
            </w:pPr>
            <w:r w:rsidRPr="0001556F">
              <w:rPr>
                <w:rFonts w:ascii="Times New Roman" w:hAnsi="Times New Roman"/>
                <w:color w:val="000000"/>
                <w:sz w:val="24"/>
                <w:szCs w:val="24"/>
                <w:lang w:val="el-GR" w:eastAsia="el-GR" w:bidi="ar-SA"/>
              </w:rPr>
              <w:t xml:space="preserve">Τίτλος </w:t>
            </w:r>
            <w:r w:rsidR="002F2612" w:rsidRPr="0001556F">
              <w:rPr>
                <w:rFonts w:ascii="Times New Roman" w:hAnsi="Times New Roman"/>
                <w:color w:val="000000"/>
                <w:sz w:val="24"/>
                <w:szCs w:val="24"/>
                <w:lang w:val="el-GR" w:eastAsia="el-GR" w:bidi="ar-SA"/>
              </w:rPr>
              <w:t>Διαβούλευσης</w:t>
            </w:r>
          </w:p>
          <w:p w:rsidR="00240A4F" w:rsidRPr="0001556F" w:rsidRDefault="00240A4F" w:rsidP="00240A4F">
            <w:pPr>
              <w:spacing w:after="0" w:line="240" w:lineRule="auto"/>
              <w:jc w:val="center"/>
              <w:rPr>
                <w:rFonts w:ascii="Times New Roman" w:hAnsi="Times New Roman"/>
                <w:color w:val="000000"/>
                <w:sz w:val="24"/>
                <w:szCs w:val="24"/>
                <w:lang w:eastAsia="el-GR" w:bidi="ar-SA"/>
              </w:rPr>
            </w:pPr>
          </w:p>
          <w:p w:rsidR="00240A4F" w:rsidRPr="0001556F" w:rsidRDefault="00240A4F" w:rsidP="00240A4F">
            <w:pPr>
              <w:spacing w:after="0" w:line="240" w:lineRule="auto"/>
              <w:jc w:val="center"/>
              <w:rPr>
                <w:rFonts w:ascii="Times New Roman" w:hAnsi="Times New Roman"/>
                <w:color w:val="000000"/>
                <w:sz w:val="24"/>
                <w:szCs w:val="24"/>
                <w:lang w:eastAsia="el-GR" w:bidi="ar-SA"/>
              </w:rPr>
            </w:pPr>
          </w:p>
          <w:p w:rsidR="002F2612" w:rsidRPr="0001556F" w:rsidRDefault="002F2612" w:rsidP="00477DF0">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p>
        </w:tc>
      </w:tr>
      <w:tr w:rsidR="00297576" w:rsidRPr="00E85AF3"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297576" w:rsidRPr="0001556F" w:rsidRDefault="0029757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Επισπεύδων Φορέας</w:t>
            </w:r>
          </w:p>
          <w:p w:rsidR="00297576" w:rsidRPr="0001556F" w:rsidRDefault="00297576"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E85AF3" w:rsidRPr="00E85AF3" w:rsidRDefault="00E85AF3" w:rsidP="00E85AF3">
            <w:pPr>
              <w:spacing w:after="0" w:line="240" w:lineRule="auto"/>
              <w:rPr>
                <w:rFonts w:ascii="Times New Roman" w:hAnsi="Times New Roman"/>
                <w:color w:val="000000"/>
                <w:sz w:val="24"/>
                <w:szCs w:val="24"/>
                <w:lang w:eastAsia="el-GR" w:bidi="ar-SA"/>
              </w:rPr>
            </w:pPr>
            <w:bookmarkStart w:id="2" w:name="_GoBack"/>
            <w:bookmarkEnd w:id="2"/>
          </w:p>
          <w:p w:rsidR="00297576" w:rsidRPr="0001556F" w:rsidRDefault="00297576" w:rsidP="00473B40">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A51777" w:rsidP="00477DF0">
            <w:pPr>
              <w:spacing w:after="0" w:line="240" w:lineRule="auto"/>
              <w:rPr>
                <w:rFonts w:ascii="Times New Roman" w:hAnsi="Times New Roman"/>
                <w:sz w:val="24"/>
                <w:szCs w:val="24"/>
                <w:lang w:val="el-GR"/>
              </w:rPr>
            </w:pPr>
            <w:r w:rsidRPr="0001556F">
              <w:rPr>
                <w:rFonts w:ascii="Times New Roman" w:hAnsi="Times New Roman"/>
                <w:color w:val="000000"/>
                <w:sz w:val="24"/>
                <w:szCs w:val="24"/>
                <w:lang w:val="el-GR" w:eastAsia="el-GR" w:bidi="ar-SA"/>
              </w:rPr>
              <w:t>Χρόνος έναρξης</w:t>
            </w:r>
            <w:r w:rsidRPr="0001556F">
              <w:rPr>
                <w:rFonts w:ascii="Times New Roman" w:hAnsi="Times New Roman"/>
                <w:sz w:val="24"/>
                <w:szCs w:val="24"/>
              </w:rPr>
              <w:t xml:space="preserve"> </w:t>
            </w:r>
          </w:p>
          <w:p w:rsidR="002F2612" w:rsidRPr="0001556F" w:rsidRDefault="002F2612" w:rsidP="00477DF0">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5472B6" w:rsidRPr="0001556F" w:rsidRDefault="005472B6" w:rsidP="00E85AF3">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Χρόνος λήξης</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A51777" w:rsidRPr="00E85AF3" w:rsidRDefault="00A51777" w:rsidP="00240A4F">
            <w:pPr>
              <w:spacing w:after="0" w:line="240" w:lineRule="auto"/>
              <w:rPr>
                <w:rFonts w:ascii="Times New Roman" w:hAnsi="Times New Roman"/>
                <w:color w:val="000000"/>
                <w:sz w:val="24"/>
                <w:szCs w:val="24"/>
                <w:lang w:eastAsia="el-GR" w:bidi="ar-SA"/>
              </w:rPr>
            </w:pP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477DF0"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477DF0" w:rsidRPr="0001556F" w:rsidRDefault="00477DF0"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Κατηγορία </w:t>
            </w:r>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Νομοθετική </w:t>
            </w:r>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Προνομοθετική</w:t>
            </w:r>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Άλλη</w:t>
            </w:r>
          </w:p>
        </w:tc>
        <w:tc>
          <w:tcPr>
            <w:tcW w:w="4394" w:type="dxa"/>
            <w:tcBorders>
              <w:top w:val="nil"/>
              <w:left w:val="nil"/>
              <w:bottom w:val="single" w:sz="4" w:space="0" w:color="FFFFFF"/>
              <w:right w:val="nil"/>
            </w:tcBorders>
            <w:shd w:val="clear" w:color="B8CCE4" w:fill="B8CCE4"/>
            <w:noWrap/>
            <w:vAlign w:val="bottom"/>
          </w:tcPr>
          <w:p w:rsidR="00477DF0" w:rsidRPr="0001556F" w:rsidRDefault="005472B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Άλλη </w:t>
            </w:r>
          </w:p>
          <w:p w:rsidR="005472B6" w:rsidRPr="0001556F" w:rsidRDefault="005472B6" w:rsidP="00240A4F">
            <w:pPr>
              <w:spacing w:after="0" w:line="240" w:lineRule="auto"/>
              <w:rPr>
                <w:rFonts w:ascii="Times New Roman" w:hAnsi="Times New Roman"/>
                <w:color w:val="000000"/>
                <w:sz w:val="24"/>
                <w:szCs w:val="24"/>
                <w:lang w:val="el-GR" w:eastAsia="el-GR" w:bidi="ar-SA"/>
              </w:rPr>
            </w:pP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2F2612" w:rsidRDefault="002F2612" w:rsidP="00297576">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Είδος Διαβούλευσης</w:t>
            </w:r>
          </w:p>
          <w:p w:rsidR="00297576" w:rsidRPr="0001556F" w:rsidRDefault="00297576" w:rsidP="00297576">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A51777" w:rsidRPr="0001556F" w:rsidRDefault="005472B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Προδιαγραφές </w:t>
            </w: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2F2612" w:rsidRPr="0001556F" w:rsidRDefault="002F2612" w:rsidP="002F2612">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Δικτυακός τόπος Ανάρτησης</w:t>
            </w:r>
          </w:p>
          <w:p w:rsidR="002F2612" w:rsidRPr="0001556F" w:rsidRDefault="002F2612" w:rsidP="002F2612">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A51777" w:rsidRPr="0001556F" w:rsidRDefault="002D75E3" w:rsidP="00240A4F">
            <w:pPr>
              <w:spacing w:after="0" w:line="240" w:lineRule="auto"/>
              <w:rPr>
                <w:rFonts w:ascii="Times New Roman" w:hAnsi="Times New Roman"/>
                <w:color w:val="000000"/>
                <w:sz w:val="24"/>
                <w:szCs w:val="24"/>
                <w:lang w:val="el-GR" w:eastAsia="el-GR" w:bidi="ar-SA"/>
              </w:rPr>
            </w:pPr>
            <w:hyperlink r:id="rId9" w:history="1">
              <w:r w:rsidR="002F2612" w:rsidRPr="0001556F">
                <w:rPr>
                  <w:rStyle w:val="-"/>
                  <w:rFonts w:ascii="Times New Roman" w:hAnsi="Times New Roman"/>
                  <w:sz w:val="24"/>
                  <w:szCs w:val="24"/>
                  <w:lang w:eastAsia="el-GR" w:bidi="ar-SA"/>
                </w:rPr>
                <w:t>WWW.OPENGOV.GR</w:t>
              </w:r>
            </w:hyperlink>
            <w:r w:rsidR="002F2612" w:rsidRPr="0001556F">
              <w:rPr>
                <w:rFonts w:ascii="Times New Roman" w:hAnsi="Times New Roman"/>
                <w:color w:val="000000"/>
                <w:sz w:val="24"/>
                <w:szCs w:val="24"/>
                <w:lang w:eastAsia="el-GR" w:bidi="ar-SA"/>
              </w:rPr>
              <w:t xml:space="preserve"> </w:t>
            </w: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Πλήθος άρθρων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493BC1" w:rsidRPr="0001556F" w:rsidRDefault="00493BC1" w:rsidP="00E85AF3">
            <w:pPr>
              <w:spacing w:after="0" w:line="240" w:lineRule="auto"/>
              <w:jc w:val="center"/>
              <w:rPr>
                <w:rFonts w:ascii="Times New Roman" w:hAnsi="Times New Roman"/>
                <w:color w:val="000000"/>
                <w:sz w:val="24"/>
                <w:szCs w:val="24"/>
                <w:lang w:val="el-GR" w:eastAsia="el-GR" w:bidi="ar-SA"/>
              </w:rPr>
            </w:pPr>
          </w:p>
        </w:tc>
      </w:tr>
      <w:tr w:rsidR="002F2612"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2F2612" w:rsidRPr="0001556F" w:rsidRDefault="002F2612"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Πλήθος Σχολίων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E85AF3">
            <w:pPr>
              <w:spacing w:after="0" w:line="240" w:lineRule="auto"/>
              <w:jc w:val="center"/>
              <w:rPr>
                <w:rFonts w:ascii="Times New Roman" w:hAnsi="Times New Roman"/>
                <w:color w:val="000000"/>
                <w:sz w:val="24"/>
                <w:szCs w:val="24"/>
                <w:lang w:val="el-GR" w:eastAsia="el-GR" w:bidi="ar-SA"/>
              </w:rPr>
            </w:pPr>
          </w:p>
        </w:tc>
      </w:tr>
      <w:tr w:rsidR="002F2612" w:rsidRPr="0001556F" w:rsidTr="004B3A82">
        <w:trPr>
          <w:trHeight w:val="300"/>
        </w:trPr>
        <w:tc>
          <w:tcPr>
            <w:tcW w:w="4111" w:type="dxa"/>
            <w:tcBorders>
              <w:top w:val="nil"/>
              <w:left w:val="nil"/>
              <w:bottom w:val="nil"/>
              <w:right w:val="single" w:sz="4" w:space="0" w:color="FFFFFF"/>
            </w:tcBorders>
            <w:shd w:val="clear" w:color="DBE5F1" w:fill="DBE5F1"/>
            <w:noWrap/>
            <w:vAlign w:val="bottom"/>
          </w:tcPr>
          <w:p w:rsidR="002F2612" w:rsidRPr="0001556F" w:rsidRDefault="002F2612"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Αριθμός Σχολιαστών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nil"/>
              <w:right w:val="nil"/>
            </w:tcBorders>
            <w:shd w:val="clear" w:color="DBE5F1" w:fill="DBE5F1"/>
            <w:noWrap/>
            <w:vAlign w:val="bottom"/>
          </w:tcPr>
          <w:p w:rsidR="004B3A82" w:rsidRPr="0001556F" w:rsidRDefault="004B3A82" w:rsidP="00E85AF3">
            <w:pPr>
              <w:spacing w:after="0" w:line="240" w:lineRule="auto"/>
              <w:jc w:val="center"/>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Συντονιστές διαβούλευσης</w:t>
            </w:r>
            <w:r w:rsidR="002F2612" w:rsidRPr="0001556F">
              <w:rPr>
                <w:rFonts w:ascii="Times New Roman" w:hAnsi="Times New Roman"/>
                <w:color w:val="000000"/>
                <w:sz w:val="24"/>
                <w:szCs w:val="24"/>
                <w:lang w:val="el-GR" w:eastAsia="el-GR" w:bidi="ar-SA"/>
              </w:rPr>
              <w:t>:</w:t>
            </w:r>
          </w:p>
          <w:p w:rsidR="004B3A82" w:rsidRPr="0001556F" w:rsidRDefault="004B3A82" w:rsidP="00240A4F">
            <w:pPr>
              <w:spacing w:after="0" w:line="240" w:lineRule="auto"/>
              <w:rPr>
                <w:rFonts w:ascii="Times New Roman" w:hAnsi="Times New Roman"/>
                <w:color w:val="000000"/>
                <w:sz w:val="24"/>
                <w:szCs w:val="24"/>
                <w:lang w:val="el-GR" w:eastAsia="el-GR" w:bidi="ar-SA"/>
              </w:rPr>
            </w:pP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E85AF3">
            <w:pPr>
              <w:spacing w:after="0" w:line="240" w:lineRule="auto"/>
              <w:rPr>
                <w:rFonts w:ascii="Times New Roman" w:hAnsi="Times New Roman"/>
                <w:color w:val="000000"/>
                <w:sz w:val="24"/>
                <w:szCs w:val="24"/>
                <w:lang w:val="el-GR" w:eastAsia="el-GR" w:bidi="ar-SA"/>
              </w:rPr>
            </w:pPr>
          </w:p>
        </w:tc>
      </w:tr>
      <w:tr w:rsidR="004B3A82"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Υπεύθυνος Επικοινωνίας</w:t>
            </w:r>
          </w:p>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4B3A82" w:rsidRPr="0001556F" w:rsidRDefault="004B3A82" w:rsidP="004B3A82">
            <w:pPr>
              <w:spacing w:after="0" w:line="240" w:lineRule="auto"/>
              <w:rPr>
                <w:rFonts w:ascii="Times New Roman" w:hAnsi="Times New Roman"/>
                <w:color w:val="000000"/>
                <w:sz w:val="24"/>
                <w:szCs w:val="24"/>
                <w:lang w:val="el-GR" w:eastAsia="el-GR" w:bidi="ar-SA"/>
              </w:rPr>
            </w:pPr>
          </w:p>
        </w:tc>
      </w:tr>
      <w:tr w:rsidR="004B3A82" w:rsidRPr="00E85AF3"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Υπ. Έγκρισης Σχολίων</w:t>
            </w:r>
          </w:p>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240A4F">
            <w:pPr>
              <w:spacing w:after="0" w:line="240" w:lineRule="auto"/>
              <w:rPr>
                <w:rFonts w:ascii="Times New Roman" w:hAnsi="Times New Roman"/>
                <w:color w:val="000000"/>
                <w:sz w:val="24"/>
                <w:szCs w:val="24"/>
                <w:lang w:val="el-GR" w:eastAsia="el-GR" w:bidi="ar-SA"/>
              </w:rPr>
            </w:pPr>
          </w:p>
        </w:tc>
      </w:tr>
      <w:tr w:rsidR="004B3A82" w:rsidRPr="00E85AF3"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4B3A82" w:rsidRPr="0001556F" w:rsidRDefault="004B3A82" w:rsidP="002F2612">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Ομάδα Επεξεργασίας Έκθεσης</w:t>
            </w:r>
          </w:p>
          <w:p w:rsidR="00273A52" w:rsidRPr="0001556F" w:rsidRDefault="00273A52" w:rsidP="002F2612">
            <w:pPr>
              <w:spacing w:after="0" w:line="240" w:lineRule="auto"/>
              <w:ind w:left="34" w:firstLine="284"/>
              <w:rPr>
                <w:rFonts w:ascii="Times New Roman" w:hAnsi="Times New Roman"/>
                <w:color w:val="000000"/>
                <w:sz w:val="24"/>
                <w:szCs w:val="24"/>
                <w:lang w:val="el-GR" w:eastAsia="el-GR" w:bidi="ar-SA"/>
              </w:rPr>
            </w:pPr>
          </w:p>
          <w:p w:rsidR="00273A52" w:rsidRPr="0001556F" w:rsidRDefault="00273A52" w:rsidP="002F2612">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273A52" w:rsidRPr="0001556F" w:rsidRDefault="00273A52" w:rsidP="00240A4F">
            <w:pPr>
              <w:spacing w:after="0" w:line="240" w:lineRule="auto"/>
              <w:rPr>
                <w:rFonts w:ascii="Times New Roman" w:hAnsi="Times New Roman"/>
                <w:color w:val="000000"/>
                <w:sz w:val="24"/>
                <w:szCs w:val="24"/>
                <w:lang w:val="el-GR" w:eastAsia="el-GR" w:bidi="ar-SA"/>
              </w:rPr>
            </w:pPr>
          </w:p>
        </w:tc>
      </w:tr>
    </w:tbl>
    <w:p w:rsidR="00A51777" w:rsidRDefault="00A51777" w:rsidP="00A51777">
      <w:pPr>
        <w:ind w:left="1440"/>
        <w:jc w:val="both"/>
        <w:rPr>
          <w:rFonts w:ascii="Times New Roman" w:hAnsi="Times New Roman"/>
          <w:sz w:val="24"/>
          <w:szCs w:val="24"/>
          <w:lang w:val="el-GR"/>
        </w:rPr>
      </w:pPr>
    </w:p>
    <w:p w:rsidR="00FB719A" w:rsidRPr="0001556F" w:rsidRDefault="00FB719A" w:rsidP="00A51777">
      <w:pPr>
        <w:ind w:left="1440"/>
        <w:jc w:val="both"/>
        <w:rPr>
          <w:rFonts w:ascii="Times New Roman" w:hAnsi="Times New Roman"/>
          <w:sz w:val="24"/>
          <w:szCs w:val="24"/>
          <w:lang w:val="el-GR"/>
        </w:rPr>
      </w:pPr>
    </w:p>
    <w:p w:rsidR="002F2612" w:rsidRDefault="002F2612" w:rsidP="00A51777">
      <w:pPr>
        <w:ind w:left="1440"/>
        <w:jc w:val="both"/>
        <w:rPr>
          <w:rFonts w:ascii="Times New Roman" w:hAnsi="Times New Roman"/>
          <w:sz w:val="24"/>
          <w:szCs w:val="24"/>
          <w:lang w:val="el-GR"/>
        </w:rPr>
      </w:pPr>
    </w:p>
    <w:p w:rsidR="005662D3" w:rsidRPr="005662D3" w:rsidRDefault="00A51777" w:rsidP="005662D3">
      <w:pPr>
        <w:ind w:left="720"/>
        <w:jc w:val="both"/>
        <w:rPr>
          <w:rFonts w:ascii="Times New Roman" w:hAnsi="Times New Roman"/>
          <w:b/>
          <w:color w:val="FF0000"/>
          <w:sz w:val="24"/>
          <w:szCs w:val="24"/>
          <w:lang w:val="el-GR"/>
        </w:rPr>
      </w:pPr>
      <w:r w:rsidRPr="00273A52">
        <w:rPr>
          <w:rFonts w:ascii="Times New Roman" w:hAnsi="Times New Roman"/>
          <w:b/>
          <w:color w:val="000000" w:themeColor="text1"/>
          <w:sz w:val="24"/>
          <w:szCs w:val="24"/>
          <w:lang w:val="el-GR"/>
        </w:rPr>
        <w:lastRenderedPageBreak/>
        <w:t xml:space="preserve">Β. </w:t>
      </w:r>
      <w:r w:rsidR="005662D3">
        <w:rPr>
          <w:rFonts w:ascii="Times New Roman" w:hAnsi="Times New Roman"/>
          <w:b/>
          <w:color w:val="FF0000"/>
          <w:sz w:val="24"/>
          <w:szCs w:val="24"/>
          <w:lang w:val="el-GR"/>
        </w:rPr>
        <w:t xml:space="preserve"> </w:t>
      </w:r>
      <w:r w:rsidR="005662D3" w:rsidRPr="005662D3">
        <w:rPr>
          <w:rFonts w:ascii="Times New Roman" w:hAnsi="Times New Roman"/>
          <w:b/>
          <w:color w:val="000000" w:themeColor="text1"/>
          <w:sz w:val="24"/>
          <w:szCs w:val="24"/>
          <w:lang w:val="el-GR"/>
        </w:rPr>
        <w:t>Επεξεργασία Σχολίων</w:t>
      </w:r>
    </w:p>
    <w:tbl>
      <w:tblPr>
        <w:tblW w:w="9018" w:type="dxa"/>
        <w:tblInd w:w="89" w:type="dxa"/>
        <w:tblLook w:val="04A0" w:firstRow="1" w:lastRow="0" w:firstColumn="1" w:lastColumn="0" w:noHBand="0" w:noVBand="1"/>
      </w:tblPr>
      <w:tblGrid>
        <w:gridCol w:w="512"/>
        <w:gridCol w:w="5886"/>
        <w:gridCol w:w="2620"/>
      </w:tblGrid>
      <w:tr w:rsidR="005662D3" w:rsidRPr="005662D3" w:rsidTr="008C4574">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r w:rsidRPr="005662D3">
              <w:rPr>
                <w:b/>
                <w:bCs/>
                <w:sz w:val="18"/>
                <w:szCs w:val="18"/>
                <w:lang w:val="el-GR" w:eastAsia="el-GR" w:bidi="ar-SA"/>
              </w:rPr>
              <w:t>Α/Α</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r w:rsidRPr="005662D3">
              <w:rPr>
                <w:b/>
                <w:bCs/>
                <w:sz w:val="18"/>
                <w:szCs w:val="18"/>
                <w:lang w:val="el-GR" w:eastAsia="el-GR" w:bidi="ar-SA"/>
              </w:rPr>
              <w:t xml:space="preserve">Προτεινόμενο Σχόλιο  </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Σχολιασμός</w:t>
            </w: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DEFENCO</w:t>
            </w:r>
          </w:p>
        </w:tc>
        <w:tc>
          <w:tcPr>
            <w:tcW w:w="2620"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sz w:val="16"/>
                <w:szCs w:val="16"/>
                <w:lang w:val="el-GR" w:eastAsia="el-GR" w:bidi="ar-SA"/>
              </w:rPr>
            </w:pPr>
          </w:p>
        </w:tc>
      </w:tr>
      <w:tr w:rsidR="005662D3" w:rsidRPr="00E85AF3" w:rsidTr="005662D3">
        <w:trPr>
          <w:trHeight w:val="450"/>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Σε συνέχεια της διαβούλευσης για την επέκταση εγκατάστασης αυτοματοποιημένου συστήματος επιτήρησης στην περιοχή του Έβρου θα θέλαμε να σας ενημερώσουμε τα παρακάτω:</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   Οι περισσότερες εταιρείες που διαθέτουν την τεχνογνωσία και την τεχνολογία ώστε να συμμετάσχουν στο συγκεκριμένο πρόγραμμα είναι ξένες.</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  Αυτό συνεπάγεται ότι όλες οι τεχνικές προδιαγραφές που εδόθησαν πρέπει να μεταφραστούν στην Αγγλική.</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73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Δεδομένου ότι η Υπηρεσία επιθυμεί τα σχόλια και τις ερωτήσεις αναφορικά με τις τεχνικές προδιαγραφές που έχει θέσει ο χρόνος που δόθηκε για την συγκεκριμένη διαδικασία είναι αποτρεπτικά μικρός για την μετάφραση και μελέτη αυτών.</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7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Αιτούμεθα παράταση του χρόνου διαβούλευσης κατά 20 ημέρες, το λιγότερο, ώστε να προβούμε σε σωστή μελέτη με τους συνεργάτες μας, ώστε να καταθέσουμε προτάσεις, σχόλια και ερωτήσεις που θα βοηθήσουν την Υπηρεσία.</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ΟΤΕ</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Θα θέλαμε να σας ενημερώσουμε ότι η εταιρεία μας έλαβε το τεύχος της Διαβούλευσης και προτίθεται να συμμετάσχει στο εν λόγω έργο.</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Στα πλαίσια αυτά, αιτούμαστε την μετάθεση της ημερομηνίας υποβολής παρατηρήσεων κατά δεκαπέντε (15) επιπλέον ημέρες λόγω της πολυπλοκότητας του έργου.</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Παρακαλούμε για τις ενέργειες σας, ενώ είμαστε στην διάθεσή σας για οποιαδήποτε επιπλέον πληροφορία, ή διευκρίνιση χρειαστείτε.</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ΚΙΡΙΜΚΙΡΟΓΛΟΥ</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8"/>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70"/>
              <w:rPr>
                <w:sz w:val="17"/>
                <w:szCs w:val="17"/>
                <w:lang w:val="el-GR" w:eastAsia="el-GR" w:bidi="ar-SA"/>
              </w:rPr>
            </w:pPr>
            <w:r w:rsidRPr="005662D3">
              <w:rPr>
                <w:sz w:val="17"/>
                <w:szCs w:val="17"/>
                <w:lang w:val="el-GR" w:eastAsia="el-GR" w:bidi="ar-SA"/>
              </w:rPr>
              <w:t>3</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1. Στην παραποτάμια ζώνη του Έβρου, υπάρχουν αρκετές μόνιμες στρατιωτικές εγκαταστάσεις όπως παρατηρητήρια, σκοπιές, φυλάκια, έδρες διμοιριών κλπ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Προτείνεται όπως εξετασθεί η δυνατότητα συνεργασίας με το ΓΕΣ, προκειμένου να γίνει όπου είναι δυνατόν εκμετάλλευση των παραπάνω εγκαταστάσεων για την φιλοξενία των: α. Σημείων Επιτήρησης (ΟΣχ ΑΣχ) β. ΤΕΚ γ. ΒΣΤΔχ  του συστήματος επιτήρησης συνόρων της ΕΛ.ΑΣ</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Τα οφέλη σε θέματα ασφάλειας/φύλαξης και μείωσης κόστους είναι προφανή</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70"/>
              <w:rPr>
                <w:sz w:val="17"/>
                <w:szCs w:val="17"/>
                <w:lang w:val="el-GR" w:eastAsia="el-GR" w:bidi="ar-SA"/>
              </w:rPr>
            </w:pPr>
            <w:r w:rsidRPr="005662D3">
              <w:rPr>
                <w:sz w:val="17"/>
                <w:szCs w:val="17"/>
                <w:lang w:val="el-GR" w:eastAsia="el-GR" w:bidi="ar-SA"/>
              </w:rPr>
              <w:t>4</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2. Για τις ενσύρματες επικοινωνίες του συστήματος επιτήρησης, προτείνεται όπως εξετασθεί η δυνατότητα δωρεάν χρήσης και εκμετάλλευσης του ΕΣΕΕΘΑ (Ενοποιημένο Σύστημα Επικοινωνιών Εθνικής Άμυνας) το οποίο βρίσκεται εγκατεστημένο και στην εν λόγω περιοχή. Για επικοινωνία: ΓΕΕΘΑ/Δνση Επικοινωνιών στο 210-657</w:t>
            </w:r>
            <w:r w:rsidRPr="005662D3">
              <w:rPr>
                <w:sz w:val="17"/>
                <w:szCs w:val="17"/>
                <w:lang w:val="el-GR" w:eastAsia="el-GR" w:bidi="ar-SA"/>
              </w:rPr>
              <w:softHyphen/>
              <w:t>6003/6005/6020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912"/>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7"/>
                <w:szCs w:val="17"/>
                <w:lang w:val="el-GR" w:eastAsia="el-GR" w:bidi="ar-SA"/>
              </w:rPr>
            </w:pPr>
            <w:r w:rsidRPr="005662D3">
              <w:rPr>
                <w:sz w:val="17"/>
                <w:szCs w:val="17"/>
                <w:lang w:val="el-GR" w:eastAsia="el-GR" w:bidi="ar-SA"/>
              </w:rPr>
              <w:t>5</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3. Ο στρατός ξηράς (ΣΞ) έχει ανεπτυγμένο ΣΔΕΠ (Σύστημα Διοίκησης- Ελέγχου Πληροφοριών) καθώς και άλλα συστήματα επιτήρησης, τα οποία παρέχουν στα επιτελεία/κέντρα επιχειρήσεων/αίθουσες ενημερώσεων την «επιχειρησιακή εικόνα» η οποία περιλαμβάνει και στοιχεία της παρέβριας περιοχής.</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8C4574">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Προτείνεται όπως κατόπιν συνεργασίας με το ΓΕΣ, εξετασθεί η χρησιμότητα μετάδοσης/πρόσβασης των εικόνων-videos του συστήματος επιτήρησης συνόρων της ΕΛ.ΑΣ και :</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8C4574">
        <w:trPr>
          <w:trHeight w:val="229"/>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α. Στα/(από τα) προαναφερόμενα κέντρα επιχειρήσεων του ΣΞ.</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8C4574">
        <w:trPr>
          <w:trHeight w:val="229"/>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β. Στα στρατιωτικά φυλάκια.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3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γ. Εποχούμενες περιπόλους της περέβριας περιοχής.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Σε περίπτωση που ο ανάδοχος του έργου θα χρειασθεί να αναπτύξει κώδικα λογισμικού για το C2 , τότε θα πρέπει να ακολουθηθούν τα στρατιωτικά πρότυπα, ώστε να υπάρχει συμβατότητα για οποιαδήποτε μελλοντική επέκταση ή συνεργασία με τα ΣΔΕΠ του ΣΞ. Προτείνεται όπως επικοινωνήσετε με ΓΕΣ/ΔΕΠΛΗ (Δνση Πληροφορικής) στο 210 655 3556/3540.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5. Ομοίως όπως παραπάνω # 4, αναφορικά με το λογισμικό GIS που χρησιμοποιεί ο ΣΞ στους δικούς του map servers. Προτείνεται όπως επικοινωνήσετε με ΓΕΣ/ΔΕΠΛΗ (Δνση Πληροφορικής) στο 210 655 3556/3540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ΒΑΛΜΑΣ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8</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Χειρόγραφες προτάσεις επί του εξοπλισμού και των σημείων εγκατάστασης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9</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ληφθεί υπ' όψιν η ύπαρξη πυκνής ομίχλης και για μεγάλα χρονικά διαστήματα στην περιοχή.</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10</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Επέκταση του συστήματος επιτήρησης στα νησιά του Ανατολικού Αιγαίου με επιπλέον αισθητήρες radar</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SIGNAL SECURITY</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11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3.2.6.1.: Ηλεκτροοπτικά Συστήματα Επιτήρησης &amp; Συστήματα Radar Α.ΘΕΡΜΙΚΟΣ ΑΙΣΘΗΤΗΡΑΣ</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Α.1. « Η μέγιστη απαιτούμενη απόσταση για ανίχνευση ορθίου ανθρώπου τυπικών διαστάσεων 0,5 Χ 1.8Μ, σύμφωνα με διαπιστευμένα κριτήρια (Johnson, Nato Stanag 4347 ή αντίστοιχα) ανά σημείο θα είναι...»</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Από τα διαπιστευμένα κριτήρια απουσιάζουν δύο άλλα βασικά χαρακτηριστικά: η ταυτοποίηση (recognition) και η αναγνώριση (identification).</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H μέγιστη απαιτούμενη απόσταση για ανίχνευση όρθιου άνδρας 0,5 Χ 1,8 σύμφωνα με τα διαπιστευμένα κριτήρια ανά σημείο θα είναι κατ' ελάχιστο:</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Ανίχνευση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Αναγνώριση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Ταυτοποίηση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πρέπει να συμπληρωθούν και οι αντίστοιχες αποστάσεις για όχημα 2,3 Χ 2,3 αναπόσπαστο κομμάτι των κριτηρίων.</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12</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Α.8. «Να διαθέτει μεταβλητά πεδία παρατήρησης σε στενό (NFOV) και ευρύ πεδίο (WFOV)»</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εγκρίνεται </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Θα αξιολογηθεί επιπλέον εάν διαθέτει συνεχόμενα μεταβλητό πεδίο παρατήρησης (continuously variable) από το στενό (NFOV) πεδίο μέχρι το ευρύ (WFOV).</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δοθούν οι μοίρες θέασης οριζόντια και κάθετα και στα δύο πεδία.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δοθεί το αρχικό εστιακό μήκος του φακού (WFOV) καθώς και το τελικό μετά τη μεγέθυνση (NFOV).</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13</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Α.9. « Να παρέχει οπτική μεγέθυνση εικόνας σε στενό πεδίο παρατήρησης ΝFOV) τουλάχιστον 4Χ».</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Να παρέχει οπτική μεγέθυνση εικόνας σε στενό πεδίο παρατήρησης ΝFOV). Να δηλωθεί η τιμή της …... Χ</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14</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Α.10. « Να παρέχει οπτική μεγέθυνση εικόνας σε ευρύ πεδίο παρατήρησης (WFOV) τουλάχιστον 2Χ».</w:t>
            </w:r>
          </w:p>
        </w:tc>
        <w:tc>
          <w:tcPr>
            <w:tcW w:w="2620"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ΠΑΡΑΤΗΡΗΣΗ: Αφού έχουμε ένα ευρύ πεδίο (WFOV) που συνήθως είναι και το αρχικό εστιακό μήκος, πως θα προκύψει μεγέθυνση Χ2? ΠΡΟΤΑΣΗ: «Να παρέχει ηλεκτρονική μεγέθυνση εικόνας σε ευρύ πεδίο παρατήρησης (WFOV) τουλάχιστον 2Χ».</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15</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 ΒΑΣΗ ΣΤΗΡΙΞΗΣ ΗΛΕΚΤΡΟΟΠΤΙΚΩΝ ΣΥΣΤΗΜΑΤΩΝ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εγκρίνεται </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Δ.2. «Να διαθέτει δυνατότητα περιστροφής περι τον οριζόντιο άξονα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τουλάχιστον 320 μοιρες»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Να διαθέτει δυνατότητα περιστροφής περι τον οριζόντιο άξονα τουλάχιστον 320 μοιρες. Δυνατότητα συνεχούς κυκλικής κίνησης 360ο χωρίς περιορισμό θα αξιολογηθεί.</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Συμφωνούμε με το προηγούμενο σχόλιο και αιτούμεθα παράτασης του χρόνου διαβούλευσης.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Default="005662D3" w:rsidP="005662D3">
            <w:pPr>
              <w:spacing w:after="0" w:line="240" w:lineRule="auto"/>
              <w:rPr>
                <w:sz w:val="16"/>
                <w:szCs w:val="16"/>
                <w:lang w:val="el-GR" w:eastAsia="el-GR" w:bidi="ar-SA"/>
              </w:rPr>
            </w:pPr>
          </w:p>
          <w:p w:rsidR="008C4574" w:rsidRDefault="008C4574" w:rsidP="005662D3">
            <w:pPr>
              <w:spacing w:after="0" w:line="240" w:lineRule="auto"/>
              <w:rPr>
                <w:sz w:val="16"/>
                <w:szCs w:val="16"/>
                <w:lang w:val="el-GR" w:eastAsia="el-GR" w:bidi="ar-SA"/>
              </w:rPr>
            </w:pPr>
          </w:p>
          <w:p w:rsidR="008C4574" w:rsidRPr="005662D3" w:rsidRDefault="008C4574"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ERICSSON</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17</w:t>
            </w:r>
          </w:p>
        </w:tc>
        <w:tc>
          <w:tcPr>
            <w:tcW w:w="5886" w:type="dxa"/>
            <w:tcBorders>
              <w:top w:val="single" w:sz="4" w:space="0" w:color="auto"/>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2.3 Συντήρηση, παρ.2.3.7,σελ.6, αναφέρετε «Το ετήσιο κόστος συντήρησης δεν θα υπερβαίνει το 6% του συνολικού κόστους του έργου, αναπροσαρμοζόμενο καθέτως..», Προτείνουμε να προσδιορίσετε εάν το τελικά αναπροσαρμοσμένο τελικό τίμημα δεν δύναται να υπερβαίνει το 6% (μετά τις αναπροσαρμογές).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12"/>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18</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2.3.16, αναφέρετε ότι σε πιθανή μεταγενέστερη προμήθεια εξοπλισμού, ή/και υπηρεσιών θα δύναται να ενταχθούν στο συμβόλαιο συντήρησης με τους όρους του αρχικού υπό προμήθεια εξοπλισμού/υπηρεσιών.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Προτείνουμε, η αρχική προσφορά να έχει συγκεκριμένη ισχύ. Δεν μπορεί η προσφορά των υποψηφίων Αναδόχων στη διαγωνιστική διαδικασία να έχει ισχύ επ' αόριστον.</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19</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2.4.9, «.. εδαφοτεχνικές και στατικές μελέτες των πυλώνων, των οικίσκων, των βάσεων έδρασης αυτών και των περιφράξεων..».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Προτείνεται να διαφοροποιηθούν οι εδαφοτεχνικές μελέτες και να περιορισθούν μόνον για τους πυλώνες, καθότι κρίνεται υπερβολικό για τους οικίσκους και την περίφραξη.</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20</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2.4.10 γίνεται αναφορά για την ευθύνη του Προμηθευτή να ηλεκτροδοτήσει τα υποσυστήματα στα σημεία του έργου.</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Το χρονοδιάγραμμα για την ηλεκτροδότηση δεν δύναται να προσδιορισθεί. Επίσης το απαιτούμενο κόστος των εν λόγω εργασιών είναι απροσδιόριστο. Κρίνεται αναγκαίο να αποσαφηνιστεί τόσο το χρονοδιάγραμμα όσο και το προσδοκώμενο κόστος των απαιτούμενων εργασιών.</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21</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2.4.11 και 2.4.12 αναφέρονται συγκεκριμένες άδειες στις οποίες ο Προμηθευτής υποχρεούται να προβεί πριν την υλοποίηση του Έργου.</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Ο χρόνος υλοποίησης του έργου (18 μήνες από την υπογραφή της σύμβασης) κρίνεται επαρκής για την ολοκλήρωση όλων των σχετικών αδειοδοτήσεων.</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Κρίνεται αναγκαίο να διευκρινιστεί ότι ο απαιτούμενος χρόνος για την όποια αδειοδότηση εξαιρείται του χρονοδιαγράμματος υλοποίησης του Έργου (18 μήνες) καθότι η όποια καθυστέρηση στην αδειοδότηση, δεν είναι ευθύνη του Προμηθευτή.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675"/>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22</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2.12.2 αναφέρετε ότι δεν θα επιβάλλονται ρήτρες σε περιπτώσεις διακοπής λειτουργίας του εξοπλισμού του έργου λόγω καταστροφής του εξοπλισμού από βανδαλισμό από αποφάσεις δημοσίων αρχών, φυσικών καταστροφών, δικαστικών αποφάσεων κλπ.</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Κρίνεται αναγκαίο να καταστεί σαφές ότι το κόστος τόσο των υλικών προς αντικατάσταση όσο και των απαιτούμενων υπηρεσιών δεν βαραίνουν σε καμία περίπτωση τον Προμηθευτή.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0"/>
        </w:trPr>
        <w:tc>
          <w:tcPr>
            <w:tcW w:w="512" w:type="dxa"/>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23</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2.12.8. «.... εντός 14 ημερών από την ειδοποίηση ..». Ο χρόνος άρσης της βλάβης είναι ανέφικτος ιδιαίτερα για τις κάμερες και τα ραντάρ.</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24</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3.2.5.23, « πρωτεύον σύστημα επιτήρησης να είναι το ραντάρ..».</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90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Λαμβάνοντας υπόψη τις ιδιαιτερότητες των ραντάρ κυρίως δε σε αντίξοες καταστάσεις (όπως αυτές εμφανίζονται στην συνοριακή γραμμή του Έβρου) θεωρούμε ότι η συγκεκριμένη αναφερόμενη απαίτηση είναι λάθος. Ο προσδιορισμός «πρωτεύοντος συστήματος επιτήρησης» θα πρέπει να είναι κατ' επιλογή ανάλογα με την τοποθεσία και τις συνθήκες.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Για να πιστοποιηθεί η ικανότητα, η τεχνογνωσία και η εμπειρία του Προμηθευτή σε υλοποίηση αντίστοιχων Έργων θα ήταν αναγκαίο να απαιτηθούν (επί ποινή αποκλεισμού) τουλάχιστον 2 αντίστοιχα Έργα με προϋπολογισμό παρόμοιο του εν λόγω Έργου, όπου θα έχουν υλοποιηθεί επιτυχώς κατά την τελευταία 10ετία.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ο ετήσιος ισολογισμός των υποψηφίων προμηθευτών θα πρέπει να είναι κατ' ελάχιστον ίσος με τον προβλεπόμενο προϋπολογισμό του Έργου (η απαίτηση αυτή θα πρέπει να είναι για την τελευταία 3ετία).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Δεν γίνεται κάποια αναφορά στον προϋπολογισμό του Έργου, έτσι ώστε να μπορέσουμε να αποφανθούμε αν και κατά πόσο ο απαιτούμενος εξοπλισμός για τις ανάγκες του Έργου είναι επαρκής.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δεν διευκρινίζεται ο συντελεστής βαρύτητας της Τεχνικής Αξιολόγησης. Κρίνουμε ότι σε ένα Έργο αυτής της πολυπλοκότητας αλλά και κρισιμότητας, ο συντελεστής βαρύτητας της Τεχνικής Αξιολόγησης θα πρέπει να είναι ιδιαίτερα αυξημένος.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ΤΑΓΚΑΛΑΚΗΣ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8C4574">
        <w:trPr>
          <w:trHeight w:val="900"/>
        </w:trPr>
        <w:tc>
          <w:tcPr>
            <w:tcW w:w="512" w:type="dxa"/>
            <w:tcBorders>
              <w:top w:val="single" w:sz="4" w:space="0" w:color="auto"/>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29</w:t>
            </w:r>
          </w:p>
        </w:tc>
        <w:tc>
          <w:tcPr>
            <w:tcW w:w="5886" w:type="dxa"/>
            <w:tcBorders>
              <w:top w:val="single" w:sz="4" w:space="0" w:color="auto"/>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 Παρ.2.3 Συντήρηση, παρ.2.3.7, σελ.6, αναφέρετε «Το ετήσιο κόστος συντήρησης δεν θα υπερβαίνει το 6% του συνολικού κόστους του έργου, αναπροσαρμοζόμενο καθέτος..», παρακαλούμε να προσδιορίσετε εάν το τελικά αναπροσαρμοσμένο τελικό τίμημα δεν δύναται να υπερβαίνει το 6% (μετά τις αναπροσαρμογές).</w:t>
            </w:r>
          </w:p>
        </w:tc>
        <w:tc>
          <w:tcPr>
            <w:tcW w:w="2620" w:type="dxa"/>
            <w:tcBorders>
              <w:top w:val="single" w:sz="4" w:space="0" w:color="auto"/>
              <w:left w:val="nil"/>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 Παρ.2.4.9.νί,σελ.9, αναφέρετε, «.. εδαφοτεχνικές και στατικές μελέτες των πυλώνων, των οικίσκων, των βάσεων έδρασης αυτών και των περιφράξεων..». Προτείνεται να διαφοροποιηθούν οι εδαφοτεχνικές μελέτες και να περιορισθούν μόνον για </w:t>
            </w:r>
            <w:r w:rsidRPr="005662D3">
              <w:rPr>
                <w:b/>
                <w:bCs/>
                <w:sz w:val="16"/>
                <w:szCs w:val="16"/>
                <w:lang w:val="el-GR" w:eastAsia="el-GR" w:bidi="ar-SA"/>
              </w:rPr>
              <w:t xml:space="preserve">τους </w:t>
            </w:r>
            <w:r w:rsidRPr="005662D3">
              <w:rPr>
                <w:sz w:val="16"/>
                <w:szCs w:val="16"/>
                <w:lang w:val="el-GR" w:eastAsia="el-GR" w:bidi="ar-SA"/>
              </w:rPr>
              <w:t>πυλώνες, καθότι κρίνεται υπερβολικό για τους οικίσκους και την περίφραξη.</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3) Παρ.2.4.13,σελ.9, η διασφάλιση των απαιτήσεων αυτών θα πρέπει να απαιτείται και στην προτεινόμενη ομάδα έργου του υποψηφίου με απαίτηση κατάθεσης των απαραιτήτων δικαιολογητικών.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Θα εξεταστεί</w:t>
            </w:r>
          </w:p>
        </w:tc>
      </w:tr>
      <w:tr w:rsidR="005662D3" w:rsidRPr="005662D3" w:rsidTr="005662D3">
        <w:trPr>
          <w:trHeight w:val="13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Παρ.2.4.11-16,σελ.9, οι αναφερόμενες απαιτήσεις του έργου ώστε να συμφωνεί προς την «..κείμενη νομοθεσία .. » και τις «..σχετικές διατάξεις..», θα πρέπει είτε να αναφερθούν αναλυτικά και εξαντλητικά σε πίνακα ώστε να κατατεθούν από τους υποψηφίους Αναδόχους είτε να αποτελούν βαθμολογούμενα στοιχεία προς τεκμηρίωση στην αρχική μελέτη εφαρμογής. Θα πρέπει επίσης η Υπηρεσία να διασφαλίσει το «ιδιοκτησιακό καθεστώς» των προτεινόμενων σημείων εγκατάστασης για την αποφυγή καθυστερήσεων.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33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5) Παρ.2.10.8,σελ.13-14, «.. πρόβλεψη για προστασία από εισβολείς..», δεν περιγράφεται επαρκώς ο βαθμός προστασίας. Καθότι δεν βαθμολογείται παραμένει αδιευκρίνιστο το «κατώτερο όριο» κάλυψης της απαίτησης.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6) Παρ.2.12.8.ίν,σελ.16, ".. εντός 14 ημερών από την ειδοποίηση ..». Ο χρόνος άρσης της βλάβης είναι ανέφικτος ιδιαίτερα για τις κάμερες και τα ραντάρ. Με τα ισχύοντα στην διεθνή αγορά, ο χρόνος αποκατάστασης της βλάβης υπερβαίνει τους 3-4 μήνες και είναι αναμενόμενος ιδιαίτερα για τις ψυχόμενες κάμερες των οποίων το σύστημα ψύξης απαιτεί περιοδική τακτική συντήρηση η οποία γίνεται μόνον και αποκλειστικά στον κατασκευαστή. Ο πλέον ενδεδειγμένος τρόπος αντιμετώπισης του θέματος είναι η ύπαρξη «αμοιβών μονάδων» προς άμεση αντικατάσταση καθόλη την διάρκεια αποστολής της μονάδας πίσω στο εργοστάσιο. Ωστόσο, προκειμένου να διασφαλιστεί η ίση μεταχείριση των προτάσεων των υποψηφίων Αναδόχων, θα πρέπει η Υπηρεσία να προσδιορίσει πόσες και ποιές «αμοιβές μονάδες» θα προμηθευτεί και κρατήσει ως παρακαταθήκη για την ομαλή λειτουργία του συστήματος.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7) Παρ.2.12.9.,σελ.16 δεν αναφέρεται «άνω όριο» των επιβαλλόμενων ρητρών.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8) Παρ.3.1.1.5.4.νί, σελ.26, προτείνεται η υπερυψωμένη κατασκευή να προσδιοριστεί στα 2,5μ</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9) Παρ.3.2.1.1, σελ.33, αναφέρετε «..Το εν λόγω ΤΕΚ θα εγκατασταθεί και θα δημιουργηθεί με ευθύνη του ΠΡΟΜΗΘΕΥΤΗ σε κατάλληλα διαμορφωμένο χώρο παρέχοντας παράλληλα 24ωρη φύλαξη και προστασία..». Η απαίτηση είναι αόριστη, θα πρέπει να διασαφηνιστεί εάν πρόκειται για ηλεκτρονικά συστήματα ασφαλείας, τηλεπιτήρηση ή επανδρωμένη φύλαξη και σε τι βαθμό.</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10) Παρ.3.2.4.14, σελ.41, αναφέρετε «...το Η/Ζ να διαθέτει ISO 9001.2008..». Τα μηχανήματα δεν δύνανται να διαθέτουν ISO παρά μόνον οι επιχειρήσεις.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8C4574">
        <w:trPr>
          <w:trHeight w:val="900"/>
        </w:trPr>
        <w:tc>
          <w:tcPr>
            <w:tcW w:w="512"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39</w:t>
            </w:r>
          </w:p>
        </w:tc>
        <w:tc>
          <w:tcPr>
            <w:tcW w:w="5886" w:type="dxa"/>
            <w:tcBorders>
              <w:top w:val="nil"/>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11) Παρ.3.2.5.5, σελ.44 αναφέρετε «.. οι κάμερες να χειρίζονται ΚΑΙ με joysticks .. από κάθε σταθμό εργασίας και των ΤΕΚ και των ΠΕΚ..». Δεδομένης της «ευκολίας και ταχύτητας πρόσβασης των χειριστών στα joysticks» κρίνουμε ότι αυτό είναι υπερβολικό αλλά και καταχρηστικό με αποτέλεσμα να είναι αδύνατος και παραπλανητικός ο χειρισμός των καμερών σε περίπτωση «ανάγκης».</w:t>
            </w:r>
          </w:p>
        </w:tc>
        <w:tc>
          <w:tcPr>
            <w:tcW w:w="2620" w:type="dxa"/>
            <w:tcBorders>
              <w:top w:val="nil"/>
              <w:left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729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12) Παρ.3.2.5.23, σελ.45, αναφέρετε «.. ΠΡΩΤΕΥΟΝ σύστημα επιτήρησης να είναι το ραντάρ..». Δεδομένων των περιορισμένων δυνατοτήτων των ραντάρ ιδιαίτερα σε περιβάλλον πυκνής βλάστησης θεωρούμε ότι η απαίτηση είναι λάθος. Ο προσδιορισμός «πρωτεύοντος συστήματος επιτήρησης» θα πρέπει να είναι κατ' επιλογή ανάλογα με την τοποθεσία και τις συνθήκες. Οφείλει να τονισθεί ότι οι λειτουργικές ικανότητες των GSR ραντάρ είναι περιορισμένες ιδιαίτερα λόγω των τοπικών συνθηκών. Τα αναφερόμενα τεχνικά χαρακτηριστικά των ραντάρ ανταποκρίνονται σε μετρήσεις «εργαστηριακών συνθηκών», σε ανεμπόδιστο ορίζοντα, όπου δεν συνυπολογίζονται εξωτερικές ή άλλες παρεμβολές. Είναι αναμενόμενο ότι τα διαθέσιμα ραντάρ δεν θα μπορούν να διακρίνουν επιτυχώς ανθρώπινους στόχους οι οποίοι κινούνται πίσω ή μέσα σε πυκνή βλάστηση ή δένδρα ή ακόμη ακίνητους (σταθερούς) στόχους κλπ. Τα ρανταρ εξ ορισμού αποτελούν συσκευές οι οποίες χρησιμοποιούν ραδιοκύματα για να προσδιορίσουν την απόσταση, το ύψος, την διεύθυνση ή ακόμη και την ταχύτητα αντικειμένων. Η κεραία των ραντάρ εκπέμπει παλμούς ραδιοκυμάτων οι οποίοι αντανακλούν πίσω όταν προσκρούσουν σε οιοδήποτε αντικείμενο στην πορεία τους. Έτσι το αντικείμενο επιστρέφει μία ελάχιστη ποσότητα της ενέργειας του ραδιοκύματος πίσω στο ραντάρ. Η αποτελεσματικότητα ανίχνευσης ενός ραντάρ εξαρτάται από την ικανότητά του να φιλτράρει τις χρήσιμες πληροφορίες από τα υψηλά επίπεδα θορύβου με την χρήση ψηφιακής επεξεργασίας σημάτων (digital signal processing). Γι αυτό ακριβώς τον λόγο και ραντάρ υπερυψηλής τεχνολογίας με δυνατότητα ανίχνευσης στόχου σε αποστάσεις ΜΕΓΑΛΥΤΕΡΕΣ Τ]Ν 10ΚΜ κυμαίνονται στην αγορά σε τιμές που ξεπερνούν τα 200Κ euro (βλέπε EADS CASSIDIAN) χωρίς να διασφαλίζουν την αποτελεσματικότητα και αξιοπιστία λειτουργίας τους σε πραγματικό περιβάλλον. Σημειώνουμε ότι παρόμοια προβλήματα απόδοσης των ραντάρ έχουν αναφερθεί και σε άλλα μεγάλα έργα - βλέπε SBInet program , deployment in Arizona BMGR, το οποίο εκτελέσθηκε από την Boeing το 2007 με χρήση τέτοιων ραντάρ και θερμικών καμερών, με ενδεικτικό κόστος τα 3.9 εκ USD ανά μίλι κάλυψης (1.937.500 ευρώ ανά χιλιόμετρο κάλυψης) ήτοι ελάχιστο προϋπολογισμό του συγκεκριμένου έργου να διαμορφωθεί αντίστοιχα 240 εκ ευρώ με αμφίβολα αποτελέσματα.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41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13) Παρ.3.2.5.50, σελ.48, αναφέρετε «.. οι χειριστές των ΤΕΚ ..να μπορούν να χειρίζονται μέσω joystick τις λειτουργίες του ραντάρ..». Κρίνεται υπερβολικό και θα οδηγεί σε λανθασμένες επεμβάσεις στις παραμέτρους του ραντάρ. Θα πρέπει να εξαιρεθεί το ραντάρ.</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14) Παρ.3.2.5.51, σελ.48, αναφέρετε «.. οι χειριστές των ΠΕΚ ..να μπορούν να χειρίζονται μέσω joystick τις λειτουργίες του ραντάρ..». Κρίνεται υπερβολικό και θα οδηγεί σε λανθασμένες επεμβάσεις στις παραμέτρους του ραντάρ. Θα πρέπει να εξαιρεθεί το «ραντάρ» από τον χειρισμό μέσω Joystick.</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15) Παρ.3.2.6.1.Α.5, σελ.59, αναφέρετε «..Ο θερμικός ανιχνευτής να είναι ψυχώμενου τύπου (ηλεκτρικός, κρυογενικού τύπου)..Η απαίτηση στο εν λόγω σημείο δεν είναι υποχρεωτική (δεν υπάρχει ΝΑΙ στην αντίστοιχη κολώνα). ]στόσο σε άλλο σημείο </w:t>
            </w:r>
            <w:r w:rsidRPr="005662D3">
              <w:rPr>
                <w:b/>
                <w:bCs/>
                <w:sz w:val="16"/>
                <w:szCs w:val="16"/>
                <w:lang w:val="el-GR" w:eastAsia="el-GR" w:bidi="ar-SA"/>
              </w:rPr>
              <w:t xml:space="preserve">της </w:t>
            </w:r>
            <w:r w:rsidRPr="005662D3">
              <w:rPr>
                <w:sz w:val="16"/>
                <w:szCs w:val="16"/>
                <w:lang w:val="el-GR" w:eastAsia="el-GR" w:bidi="ar-SA"/>
              </w:rPr>
              <w:t>διακήρυξης (Παρ.2.1.1, σελ.5) αναφέρεται ότι «όλες οι τεχνικές προδιαγραφές είναι υποχρεωτικές..». Πρακαλούμε προσδιορίστε.</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E85AF3" w:rsidTr="005662D3">
        <w:trPr>
          <w:trHeight w:val="18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16) Παρ.3.2.6.1.Ε.1.ί-x, σελ.62, αναφέρετε «..Να αναφέρεται ρητά η μέγιστη απαιτούμενη απόσταση για ανίχνευση κινούμενου ανθρώπου (τυπικών διαστάσεων 0,5μ χ 1,8μ), η οποία θα πρέπει να είναι..» αναλυτικά για το κάθε σημείο ΟΣ4 κλπ.. Ο προσδιορισμός της μέγιστης απαιτούμενης απόστασης για την ανίχνευση στόχου, εξαρτάται απόλυτα από την διαμόρφωση του εδάφους. Δένδρα, βλάστηση και διαμόρφωση της επιφάνειας άμεσα επηρεάζει την απόσταση αυτή. Προκειμένου να δεσμευτεί κάποιος για την απόδοση αυτή, θα πρέπει να γίνει σειρά μετρήσεων επί του εκάστοτε συγκεκριμένου σημείου, διαφορετικά οποιαδήποτε άλλη αναφορά θα είναι εσφαλμένη και σίγουρα μη δεσμευτική (δείτε παρατήρηση 12 παραπάνω).</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Η απαίτηση του Πίνακα Συμμόρφωσης αφορά στις τυπικές ελάχιστες προδιαγραφές που θα πρέπει να ικανοποιεί ο κάθε έκαστος εξοπλισμός ανά σημείο εγκατάστασης και όχι στις πραγματικές συνθήκες απόδοσης αυτού.</w:t>
            </w:r>
          </w:p>
        </w:tc>
      </w:tr>
      <w:tr w:rsidR="005662D3" w:rsidRPr="005662D3" w:rsidTr="008C4574">
        <w:trPr>
          <w:trHeight w:val="900"/>
        </w:trPr>
        <w:tc>
          <w:tcPr>
            <w:tcW w:w="512"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45</w:t>
            </w:r>
          </w:p>
        </w:tc>
        <w:tc>
          <w:tcPr>
            <w:tcW w:w="5886" w:type="dxa"/>
            <w:tcBorders>
              <w:top w:val="nil"/>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17) Παρ.3.2.6.1.Ε.15, σελ.63, αναφέρετε «..Να μην επηρεάζεται η λειτουργία του από την εμφάνιση ισχυρών ατμοσφαιρικών φαινομένων (χιόνι, ομίχλη, χαλάζι, έντονη βροχόπτωση). Η αποτελεσματικότητα των ραντάρ επηρεάζεται άμεσα από έντονα καιρικά φαινόμενα. Ο όρος είτε θα πρέπει να προσδιοριστεί ποσοτικά ή να αφαιρεθεί.</w:t>
            </w:r>
          </w:p>
        </w:tc>
        <w:tc>
          <w:tcPr>
            <w:tcW w:w="2620" w:type="dxa"/>
            <w:tcBorders>
              <w:top w:val="nil"/>
              <w:left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15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18) Παρ.3.2.6.1.Ε.122, σελ.63, αναφέρετε «..Να αναφέρεται ο ρυθμός λαθών (false alarm rate) κατά την διάρκεια της ανίχνευσης και να είναι ο μικρότερος δυνατός..». Με τα αναφερόμενα παραπάνω, οποιαδήποτε τέτοια αναφορά δεν θα είναι αντιπροσωπευτική των σημείων εγκατάστασης κι επίσης θα εξαρτάται απόλυτα και από το επίπεδο ευαισθησίας (threshold level) στο οποίο αναφέρεται. Καθότι ο όρος αυτός πρόκειται να έχει και βαθμολογική αξία προτείνουμε είτε να αφαιρεθεί είτε να προταθεί η επιτόπου δοκιμή των προτεινόμενων μοντέλων με αντικειμενικά κριτήρια από την Υπηρεσία προκειμένου να αξιολογηθεί.</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19) Παρ.3.2.6.3, σελ.66, αναφέρετε «..ο οικίσκος να είναι IP66 ..». Ταυτόχρονα Παρ.3.2.6.21, σελ.67, αναφέρετε «.. να διαθέτει εξαερισμό ..». Τα ζητούμενα είναι αντικρουόμενα και ένα εκ των δύο πρέπει να απαλειφθεί.</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20) Παρ.3.2.6.6.7, σελ.79, αναφέρετε «.. το μηχάνημα να διαθέτει ISO 9001.2008..» Τα μηχανήματα δεν δύνανται να διαθέτουν ISO, μόνον οι επιχειρήσεις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11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49</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21) Παρ.3.2.6.7.1, σελ.80, αναφέρετε «.. επί κατάλληλου δικτυωτού ΤΕΤΡΑΕΔΡΙΚΟΥ πυλώνα ..». Προτείνεται να αφαιρεθεί η απαίτηση «ΤΕΤΡΑΕΔΡΙΚΟΥ», καθότι ανεβάζει το κόστος κτήσης, συντήρησης και επικινδυνότητας στην διαχείρισή του χωρίς να προσφέρει ιδιαίτερες δυνατότητες στο τελικό σύστημα. Επιπλέον προτείνεται να αναφέρονται επακριβώς τα ύψη των ιστών καθώς δεν αποτελούν αντικείμενο αξιολόγησης της προσφοράς.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22) Παρ.3.2.6.7.3, σελ.80, αναφέρετε « ..Το μέγιστο αποδεκτό πλάτος ταλάντωσης θα είναι έως 2εκ επί του υψηλότερου σημείου τους κάτω από οποιεσδήποτε καιρικές συνθήκες..». Η απαίτηση είναι αόριστη. Θα πρέπει να καθοριστούν οι συνθήκες (πχ. ταχ.ανέμου 100 KLm/h με συγκεκριμένη θερμοκρασία και υγρασία).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23) Παρ.3.2.6.7.3, σελ.80, αναφέρετε «.. Το εν λόγω εύρος ταλάντωσης θα προκύπτει από αναγνωρισμένο πιστοποιητικό φορέα της ΕΕ και θα αποτελεί αναπόσπαστο μέρος της προσφοράς του ΠΡΟΜΗΘΕΥΤΗ..». Το πλάτος ταλάντωσης ενός ιστού στο υψηλότερο σημείο του οποίου έχουν τοποθετηθεί τρίτα στοιχεία (πχ κάμερες, ραντάρ, τηλεπικοινωνιακές ζεύξεις), εξαρτάται απόλυτα από τα μεγέθη, βάρη και σχήματα των στοιχείων αυτών. Είναι συνεπώς αδύνατη η διασφάλιση τέτοιου πιστοποιητικού εάν προσδιοριστεί επακριβώς η τελική διαμόρφωση των στοιχείων που θα τοποθετηθούν επάνω του και ιδιαίτερα στο υψηλότερο σημείο του, το οποίο είναι και περισσότερο εκτεθειμένο σε ταλάντωση λόγω ανέμων. Μια τέτοια πιστοποίηση, θα προϋπόθεταν την ολοκληρωτική κατασκευή του κάθε πυλώνα με την τελική του διαμόρφωση προτού εκδοθεί το σχετικό πιστοποιητικό, γεγονός που είναι αδύνατο ιδιαίτερα προ της κατακύρωσης του αποτελέσματος.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70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24) Παρ.3.2.6.7.24, σελ.81, αναφέρετε «..Να είναι σύμφωνος με τους κάτωθι κανονισμούς 1)..., 2) ..., 3)..., 4) Ελληνικός Αντισεισμικός κανονισμός ΕΑΚ 2000 </w:t>
            </w:r>
            <w:r w:rsidRPr="005662D3">
              <w:rPr>
                <w:sz w:val="16"/>
                <w:szCs w:val="16"/>
                <w:vertAlign w:val="superscript"/>
                <w:lang w:val="el-GR" w:eastAsia="el-GR" w:bidi="ar-SA"/>
              </w:rPr>
              <w:t>Λ</w:t>
            </w:r>
            <w:r w:rsidRPr="005662D3">
              <w:rPr>
                <w:sz w:val="16"/>
                <w:szCs w:val="16"/>
                <w:lang w:val="el-GR" w:eastAsia="el-GR" w:bidi="ar-SA"/>
              </w:rPr>
              <w:t>» Προτείνεται σαν Αντισεισμικός κανονισμός να είναι αποδεκτός και ο Ευρωκώδικας 8 (αντίστοιχος ευρωπαικός).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11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53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25) Παρ.3.2.6.7, σελ.81, προτείνεται ως βαθμολογούμενο στοιχείο να προστεθεί και η δυνατότητα προσφοράς «ιστού ανακλινούμενου τύπου». Ο ιστός ανακλινούμενου τύπου δίνει εξαιρετικές δυνατότητες εύκολης και γρήγορότερης εγκατάστασης και συντήρησης με πολύ χαμηλώτερο κόστος και επικινδυνότητα. Επίσης προτείνεται και πιστοποίηση των ιστών για προστασία από πτώση του αναρριχητή που εξαρτάται από τη φέρουσα κατασκευή (protection against fall - BS EN 795:1997).</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26) Γενικό σχόλιο: καθώτι δεν αναφέρεται ο προυπολογισμός του έργου, ενδεικτικά και μη περιοριστικά αναφέρουμε ότι με πρώτη εκτίμιση των ζητούμενων υλικών και υπηρεσιών μια ασφαλής προκοστολόγηση του έργου θα προσέγγιζε τα 13.000.000 ευρώ πλέον ΦΠΑ.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 το ποσό 13.000.000 € με ΦΠΑ</w:t>
            </w: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ΘΕΟΦΙΛΟΠΟΥΛΟΣ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val="restart"/>
            <w:tcBorders>
              <w:top w:val="single" w:sz="4" w:space="0" w:color="auto"/>
              <w:left w:val="single" w:sz="4" w:space="0" w:color="auto"/>
              <w:bottom w:val="single" w:sz="4" w:space="0" w:color="000000"/>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55</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Ένα εξελιγμένο σύστημα ολοκληρωμένης επιτήρησης συνόρων θα πρέπει:</w:t>
            </w:r>
          </w:p>
        </w:tc>
        <w:tc>
          <w:tcPr>
            <w:tcW w:w="2620" w:type="dxa"/>
            <w:vMerge w:val="restart"/>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ήδη ληφθεί υπόψη στις προδιαγραφές</w:t>
            </w:r>
          </w:p>
        </w:tc>
      </w:tr>
      <w:tr w:rsidR="005662D3" w:rsidRPr="00E85AF3" w:rsidTr="005662D3">
        <w:trPr>
          <w:trHeight w:val="51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χαρακτηρίζεται από κατάλληλα τεχνολογικά μέσα στο πεδίο που θα καλύπτουν τις ανάγκες εποπτείας και δεν θα δημιουργούν "νεκρές ζώνες" ελέγχου</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w:t>
            </w:r>
            <w:r w:rsidRPr="005662D3">
              <w:rPr>
                <w:rFonts w:ascii="Tahoma" w:hAnsi="Tahoma" w:cs="Tahoma"/>
                <w:sz w:val="16"/>
                <w:szCs w:val="16"/>
                <w:lang w:val="el-GR" w:eastAsia="el-GR" w:bidi="ar-SA"/>
              </w:rPr>
              <w:t>-</w:t>
            </w:r>
            <w:r w:rsidRPr="005662D3">
              <w:rPr>
                <w:sz w:val="16"/>
                <w:szCs w:val="16"/>
                <w:lang w:val="el-GR" w:eastAsia="el-GR" w:bidi="ar-SA"/>
              </w:rPr>
              <w:t xml:space="preserve">  κάμερες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ραντάρ,</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επίγεια, θαλάσσια και εναέρια κινητά μέσα</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διαθέτει κατάλληλη αρχιτεκτονική και δικτυακή υποδομή που θα επιτρέπει:</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την άμεση συλλογή και αποθήκευση της πληροφορίας από υπάρχοντα υποσυστήματα με αυτοματοποιημένο ή ημι- αυτοματοποιημένο τρόπο</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 δυνατότητα «εύκολης» ενσωμάτωσης νέων πηγών πληροφορίας και συστημάτων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την εκμετάλλευση πληροφοριών από «εργαλεία» επιτήρησης (π.χ. συνδυασμός με πληροφορίες από δορυφόρους).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συνοδεύεται από κατάλληλες υπηρεσίες (services) που θα επιτρέπουν αύξηση της αποτελεσματικότητας των εργαλείων επιτήρησης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Υπηρεσίες Ελέγχου που θα επιτρέπουν: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άμεση και έγκαιρη επεξεργασία της πληροφορίας (π.χ. συγκερασμός δεδομένων από διαφορετικές πηγές ώστε να αναγνωρίζονται πρότυπα και να αναλύονται τάσεις)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τήρηση όλων των απαιτήσεων σε θέματα ασφάλειας κατά τη διανομή των δεδομένων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Υπηρεσίες Χρήστη που θα προσφέρουν στον εκάστοτε τελικό χρήστη:</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μία εποπτική εικόνα της υπάρχουσας κατάστασης (situation awareness) σε σχεδόν πραγματικό χρόνο</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55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 δυνατότητα - υποστήριξη για λήψη αποφάσεων (decision support) και άμεση επέμβαση εάν και εφόσον χρειαστεί με κινητοποίηση των κατάλληλων μηχανισμών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δευτερεύουσες υπηρεσίες που σχετίζονται με ιστορικά δεδομένα, στατιστικές αναλύσεις και δημιουργία αναφορών.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675"/>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56</w:t>
            </w:r>
          </w:p>
        </w:tc>
        <w:tc>
          <w:tcPr>
            <w:tcW w:w="5886" w:type="dxa"/>
            <w:tcBorders>
              <w:top w:val="single" w:sz="4" w:space="0" w:color="auto"/>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Οι Λειτουργικές Απαιτήσεις ορίζουν το είδος των υπηρεσιών που αναμένονται από το σύστημα διαχείρισης γεωγραφικών πληροφοριών. Αυτός ο τύπος των απαιτήσεων καλύπτει και περιγράφει πλήρως τα πιο σημαντικά λειτουργικά στοιχεία του συνολικού συστήματος. Σύμφωνα με την πρόταση:</w:t>
            </w:r>
          </w:p>
        </w:tc>
        <w:tc>
          <w:tcPr>
            <w:tcW w:w="2620"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ήδη ληφθεί υπόψη στις προδιαγραφές</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Διαδικασίες εντοπισμούς και παρακολούθησης στο σύστημα γεωγραφικών πληροφοριών ανά τομέα χωρικής ευθύνης Διασύνδεση των πολλαπλών πηγών παρακολούθησης σε μία οθόνη (single screen monitoring) πάνω στο σύστημα GIS.</w:t>
            </w:r>
          </w:p>
        </w:tc>
        <w:tc>
          <w:tcPr>
            <w:tcW w:w="2620"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Δυνατότητα απεικόνιση στοιχείων σε πολλαπλούς χάρτες υποβάθρου.</w:t>
            </w:r>
          </w:p>
        </w:tc>
        <w:tc>
          <w:tcPr>
            <w:tcW w:w="2620"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57</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Έπιπλέον κωδικοποιημένη παρουσίαση των λειτουργιών θα περιλαμβάνει:</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Λ1. Χρήση Διαδρομών για την περιπολία.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Λ1.1. Ο χρήστης του συστήματος θα πρέπει να μπορεί να διαχειρίζεται (εισαγωγή, διαγραφή, επεξεργασία) τις διαδρομές που υπάρχουν, ή που θέλει να δημιουργήσει.</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58</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 Διαχείριση των Σημείων στο γεωγραφικό σύστημα</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225"/>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Λ2.1. Ο χρήστης θα πρέπει να μπορεί να διαχειρίζεται (εισαγωγή,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διαγραφή, επεξεργασία) τα σημεία ανά κατηγορία (οχήματα, άτομα,φίλια, εχθρικά, άγνωστα κλπ)</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Λ2.2. Ο χρήστης θα πρέπει να μπορεί να εισάγει και να διαχειρίζεται τα αρχεία (φωτογραφίες, βίντεο, κείμενα, ηχητικά ντοκουμέντα) που αφορούν ένα σημείο</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Λ2.3. Ο χρήστης θα πρέπει να μπορεί εφόσον διαθέτει GPS η συσκευή του να μπορεί να πλοηγηθεί προς το σημείο που τον ενδιαφέρει με υποβοήθηση.</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59</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Λ3. Επικοινωνία φορητής συσκευής με τον κεντρικό εξυπηρετητή Command &amp; Control</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Λ3.1. Ο χρήστης θα πρέπει να μπορεί να «κατεβάσει» στην φορητή του συσκευή από τον εξυπηρετητή, τα στοιχεία ενός σημείου προς αξιολόγηση και να απεικονίσει το σημείο στο κατάλληλο χάρτη είτει Online είτε offline</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Λ3.2. Ο χρήστης θα πρέπει να μπορεί να «κατεβάσει» στην φορητή του συσκευή από τον εξυπηρετητή τα αρχεία (φωτογραφίες, βίντεο, κείμενα, ηχητικά ντοκουμέντα) που αφορούν τα ανωτέρω σημεία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60</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Λ4. Εισαγωγή σημείων από εξωτερικό αρχείο.</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 Εμφάνιση των σημείων σε Χάρτη του ΕΕ2.</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προβλεφθεί</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Λ5.1. Ο χρήστης θα πρέπει να μπορεί να δει ένα ή περισσότερα σημείο μέσα σε χάρτη του</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Λ5.2. Ο χρήστης θα πρέπει να μπορεί να πλοηγηθεί προς ένα επιλεγμένο σημείο εξέτασης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ΟΤΕ</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62</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 Παρ.2.3 Συντήρηση,παρ.2,3.7,σελ.6, αναφέρετε «Το ετήσιο κόστος συντήρησης δεν θα υπερβαίνει το 6% του συνολικού κόστους του έργου, αναπροσαρμοζόμενο κατό έτος..», παρακαλούμε διευκρινίστε αν το τίμημα που προκύπτει μετά την ετήσια αναπροσαρμογή δύναται να υπερβαίνει το 6% (μετά τις αναπροσαρμογές).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 Παρ.2.4.13,σελ.9, προτείνουμε η διασφάλιση των απαιτήσεων αυτών να απαιτείται και για την προτεινόμενη ομάδα έργου του υποψηφίου με απαίτηση κατάθεσης των απαραιτήτων δικαιολογητικών.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15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3) Παρ.2.12.8.1ν,σελ.16, Ο χρόνος άρσης της βλάβης 14 ημέρες από την ειδοποίηση, είναι ανέφικτος όσον αφορά τις κάμερες και τα ραντάρ. Ο χρόνος αποκατάστασης υπερβαίνει τους 3-4 μήνες ιδιαίτερα για τους ψυχόμενους αισθητήρες οι οποίοι απαιτούν τακτική συντήρηση, εφικτή αποκλειστικά και μόνον στις εγκαταστάσεις του κατασκευαστή. Η λειτουργία του συστήματος μπορεί να αποκατασταθεί κατά τη διενέργεια της τακτικής συντήρησης μέσω εφεδρικών μονάδων. Προτείνουμε να αναφέρεται ρητά στη διακήρυξη, ο αριθμός των εφεδρικών μονάδων που υποχρεούται να προσφέρει ο προμηθευτής.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Παρ.2.12.9.,σελ.16 δεν προσδιορίζεται το άνω όριο των επιβαλλόμενων ρητρών.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5) Παρ.3.2.1.1, σελ.33 αναφέρεται πως ευθύνη του προμηθευτή θα παρέχεται 24ωρη φύλαξη και προστασία. Παρακαλούμε διευκρινίστε αν αποτελεί ζητούμενο στα πλαίσια του έργου να προσφερθούν υπηρεσίες προσωπικού φύλαξης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13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6) Παρ3.1.2.4,σελ 31 αναφέρεται ότι «Η διασύνδεση των εγκαταστάσεων... θα πραγματοποιείται με χρήση μισθωμένων κυκλωμάτων, το είδος των οποίων καθώς και ο απαραίτητος ρυθμός μετάδοσης δεδομένων θα προσδιοριστούν με ακρίβεια στην τελική Μελέτη Εφαρμογής ανάλογα με τον απαιτούμενο όγκο διακινούμενης πληροφορίας. Τα τέλη μίσθωσης θα βαρύνουν τον ΑΓΟΡΑΣΤΗ. Παρακαλούμε όπως διευκρινίσατε αν το κόστος εγκατάστασης και λειτουργίας των παραπάνω κυκλωμάτων πρέπει να συμπεριλαμβάνεται στην Οικονομική Προσφορά του Προμηθευτή.</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7) Παρ.3.2.5.προδιαγραφή 23, σελ.45, αναγράφεται ότι «.. ΠΡΩΤΕΥΟΝ σύστημα επιτήρησης να είναι το ραντάρ..»· Επειδή η επιχειρησιακή δυνατότητα των ρανταρ επηρεάζεται τόσο από την μορφολογία, όσο και από την κάλυψη του εδάφους προτείνουμε ο προσδιορισμός «πρωτεύοντος συστήματος επιτήρησης» να ορίζεται κατ' επιλογήν ανά σημείο επιτήρησης.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69</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8) Παρ.3.2,5.προδιαγραφή 59, σελ.48 Παρακαλούμε διευκρινίστε αν η λειτουργία της σταθεροποίησης εικόνας εκτελείται από την κάμερα ή από το ίδιο το λογισμικό Command &amp; Control.</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 3.2.6.1.5, σελ 59 Λεν αναγράφεται «ΝΑΙ» στη στήλη «ΑΠΑΙΤΗΣΗ» των προδιαγραφών. Παράλληλα στην Παρ.2,1.1,σελ 5 αναγράφεται πως όλες οι τεχνικές προδιαγραφές είναι υποχρεωτικές. Παρακαλούμε αποσαφηνίστε ποιο υπερίσχυα.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 3.2.6.3, σελ.66, Παρ.3.2.6.21, σελ.67, Η πρώτη προδιαγραφή απαιτεί «..ο οικίσκος να είναι ΙΡ66 ..» και η δεύτερη «.. να διαθέτει εξαερισμό ..». Τα δύο είναι αντικρουόμενα. Παρακαλούμε αποσαφηνίστε ποιο απ' τα δύο είναι υποχρεωτικό.</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bl>
    <w:p w:rsidR="005662D3" w:rsidRDefault="005662D3" w:rsidP="00A51777">
      <w:pPr>
        <w:ind w:left="720"/>
        <w:jc w:val="both"/>
        <w:rPr>
          <w:rFonts w:ascii="Times New Roman" w:hAnsi="Times New Roman"/>
          <w:b/>
          <w:color w:val="000000" w:themeColor="text1"/>
          <w:sz w:val="24"/>
          <w:szCs w:val="24"/>
          <w:lang w:val="el-GR"/>
        </w:rPr>
      </w:pPr>
    </w:p>
    <w:p w:rsidR="002F2612" w:rsidRDefault="002F2612" w:rsidP="002F2612">
      <w:pPr>
        <w:jc w:val="both"/>
        <w:rPr>
          <w:rFonts w:ascii="Times New Roman" w:hAnsi="Times New Roman"/>
          <w:sz w:val="24"/>
          <w:szCs w:val="24"/>
          <w:lang w:val="el-GR"/>
        </w:rPr>
      </w:pPr>
    </w:p>
    <w:p w:rsidR="002F2612" w:rsidRDefault="002F2612">
      <w:pPr>
        <w:rPr>
          <w:rFonts w:ascii="Times New Roman" w:hAnsi="Times New Roman"/>
          <w:sz w:val="24"/>
          <w:szCs w:val="24"/>
          <w:u w:val="single"/>
          <w:lang w:val="el-GR"/>
        </w:rPr>
      </w:pPr>
    </w:p>
    <w:sectPr w:rsidR="002F2612" w:rsidSect="004A39A7">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E3" w:rsidRDefault="002D75E3" w:rsidP="002F2612">
      <w:pPr>
        <w:spacing w:after="0" w:line="240" w:lineRule="auto"/>
      </w:pPr>
      <w:r>
        <w:separator/>
      </w:r>
    </w:p>
  </w:endnote>
  <w:endnote w:type="continuationSeparator" w:id="0">
    <w:p w:rsidR="002D75E3" w:rsidRDefault="002D75E3" w:rsidP="002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19"/>
      <w:docPartObj>
        <w:docPartGallery w:val="Page Numbers (Bottom of Page)"/>
        <w:docPartUnique/>
      </w:docPartObj>
    </w:sdtPr>
    <w:sdtEndPr/>
    <w:sdtContent>
      <w:p w:rsidR="004A39A7" w:rsidRDefault="0096062C">
        <w:pPr>
          <w:pStyle w:val="af6"/>
          <w:jc w:val="right"/>
        </w:pPr>
        <w:r>
          <w:fldChar w:fldCharType="begin"/>
        </w:r>
        <w:r>
          <w:instrText xml:space="preserve"> PAGE   \* MERGEFORMAT </w:instrText>
        </w:r>
        <w:r>
          <w:fldChar w:fldCharType="separate"/>
        </w:r>
        <w:r w:rsidR="00587B3C">
          <w:rPr>
            <w:noProof/>
          </w:rPr>
          <w:t>6</w:t>
        </w:r>
        <w:r>
          <w:rPr>
            <w:noProof/>
          </w:rPr>
          <w:fldChar w:fldCharType="end"/>
        </w:r>
      </w:p>
    </w:sdtContent>
  </w:sdt>
  <w:p w:rsidR="004A39A7" w:rsidRDefault="004A39A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E3" w:rsidRDefault="002D75E3" w:rsidP="002F2612">
      <w:pPr>
        <w:spacing w:after="0" w:line="240" w:lineRule="auto"/>
      </w:pPr>
      <w:r>
        <w:separator/>
      </w:r>
    </w:p>
  </w:footnote>
  <w:footnote w:type="continuationSeparator" w:id="0">
    <w:p w:rsidR="002D75E3" w:rsidRDefault="002D75E3" w:rsidP="002F2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9892AA"/>
    <w:lvl w:ilvl="0">
      <w:start w:val="1"/>
      <w:numFmt w:val="bullet"/>
      <w:pStyle w:val="a"/>
      <w:lvlText w:val=""/>
      <w:lvlJc w:val="left"/>
      <w:pPr>
        <w:tabs>
          <w:tab w:val="num" w:pos="360"/>
        </w:tabs>
        <w:ind w:left="360" w:hanging="360"/>
      </w:pPr>
      <w:rPr>
        <w:rFonts w:ascii="Symbol" w:hAnsi="Symbol" w:hint="default"/>
      </w:rPr>
    </w:lvl>
  </w:abstractNum>
  <w:abstractNum w:abstractNumId="1">
    <w:nsid w:val="12C0077A"/>
    <w:multiLevelType w:val="hybridMultilevel"/>
    <w:tmpl w:val="8AAC8D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0802C6"/>
    <w:multiLevelType w:val="hybridMultilevel"/>
    <w:tmpl w:val="AFF0F6B6"/>
    <w:lvl w:ilvl="0" w:tplc="4B86D36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A142B3"/>
    <w:multiLevelType w:val="hybridMultilevel"/>
    <w:tmpl w:val="C1325218"/>
    <w:lvl w:ilvl="0" w:tplc="2CEE2C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C7B29D3"/>
    <w:multiLevelType w:val="hybridMultilevel"/>
    <w:tmpl w:val="32D43A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50676"/>
    <w:multiLevelType w:val="hybridMultilevel"/>
    <w:tmpl w:val="3F54E3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3">
      <w:start w:val="1"/>
      <w:numFmt w:val="bullet"/>
      <w:lvlText w:val="o"/>
      <w:lvlJc w:val="left"/>
      <w:pPr>
        <w:ind w:left="2880" w:hanging="360"/>
      </w:pPr>
      <w:rPr>
        <w:rFonts w:ascii="Courier New" w:hAnsi="Courier New" w:cs="Courier New"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E6762F"/>
    <w:multiLevelType w:val="hybridMultilevel"/>
    <w:tmpl w:val="B09AB8E6"/>
    <w:lvl w:ilvl="0" w:tplc="0408000B">
      <w:start w:val="1"/>
      <w:numFmt w:val="bullet"/>
      <w:lvlText w:val=""/>
      <w:lvlJc w:val="left"/>
      <w:pPr>
        <w:ind w:left="720" w:hanging="360"/>
      </w:pPr>
      <w:rPr>
        <w:rFonts w:ascii="Wingdings" w:hAnsi="Wingdings" w:hint="default"/>
      </w:rPr>
    </w:lvl>
    <w:lvl w:ilvl="1" w:tplc="0408000F">
      <w:start w:val="1"/>
      <w:numFmt w:val="decimal"/>
      <w:lvlText w:val="%2."/>
      <w:lvlJc w:val="lef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6B16D7"/>
    <w:multiLevelType w:val="hybridMultilevel"/>
    <w:tmpl w:val="F8D476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01A51"/>
    <w:multiLevelType w:val="multilevel"/>
    <w:tmpl w:val="AEB87F94"/>
    <w:lvl w:ilvl="0">
      <w:start w:val="1"/>
      <w:numFmt w:val="decimal"/>
      <w:pStyle w:val="epikefalida1"/>
      <w:lvlText w:val="%1."/>
      <w:lvlJc w:val="left"/>
      <w:pPr>
        <w:ind w:left="720" w:hanging="360"/>
      </w:pPr>
    </w:lvl>
    <w:lvl w:ilvl="1">
      <w:start w:val="1"/>
      <w:numFmt w:val="decimal"/>
      <w:pStyle w:val="epikefalida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8"/>
  </w:num>
  <w:num w:numId="3">
    <w:abstractNumId w:val="0"/>
  </w:num>
  <w:num w:numId="4">
    <w:abstractNumId w:val="1"/>
  </w:num>
  <w:num w:numId="5">
    <w:abstractNumId w:val="4"/>
  </w:num>
  <w:num w:numId="6">
    <w:abstractNumId w:val="7"/>
  </w:num>
  <w:num w:numId="7">
    <w:abstractNumId w:val="5"/>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7"/>
    <w:rsid w:val="0001556F"/>
    <w:rsid w:val="00165428"/>
    <w:rsid w:val="002309B2"/>
    <w:rsid w:val="00240A4F"/>
    <w:rsid w:val="00273A52"/>
    <w:rsid w:val="00297576"/>
    <w:rsid w:val="002C2DFF"/>
    <w:rsid w:val="002D75E3"/>
    <w:rsid w:val="002F2612"/>
    <w:rsid w:val="00391F50"/>
    <w:rsid w:val="00477DF0"/>
    <w:rsid w:val="00493BC1"/>
    <w:rsid w:val="004A39A7"/>
    <w:rsid w:val="004B3A82"/>
    <w:rsid w:val="004D6376"/>
    <w:rsid w:val="005472B6"/>
    <w:rsid w:val="0055139C"/>
    <w:rsid w:val="005662D3"/>
    <w:rsid w:val="00587B3C"/>
    <w:rsid w:val="006568F5"/>
    <w:rsid w:val="006868D7"/>
    <w:rsid w:val="0069482E"/>
    <w:rsid w:val="006C0D5F"/>
    <w:rsid w:val="007A79E3"/>
    <w:rsid w:val="008C4574"/>
    <w:rsid w:val="0096062C"/>
    <w:rsid w:val="00976811"/>
    <w:rsid w:val="00A51777"/>
    <w:rsid w:val="00A559A5"/>
    <w:rsid w:val="00AF2AE2"/>
    <w:rsid w:val="00B512BC"/>
    <w:rsid w:val="00C65F1F"/>
    <w:rsid w:val="00CA7DC6"/>
    <w:rsid w:val="00E85AF3"/>
    <w:rsid w:val="00E9091B"/>
    <w:rsid w:val="00F76317"/>
    <w:rsid w:val="00FB7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777"/>
    <w:rPr>
      <w:rFonts w:ascii="Calibri" w:eastAsia="Times New Roman" w:hAnsi="Calibri" w:cs="Times New Roman"/>
    </w:rPr>
  </w:style>
  <w:style w:type="paragraph" w:styleId="1">
    <w:name w:val="heading 1"/>
    <w:basedOn w:val="a0"/>
    <w:next w:val="a0"/>
    <w:link w:val="1Char"/>
    <w:uiPriority w:val="9"/>
    <w:qFormat/>
    <w:rsid w:val="006C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2"/>
    <w:basedOn w:val="a0"/>
    <w:next w:val="a0"/>
    <w:link w:val="2Char"/>
    <w:uiPriority w:val="9"/>
    <w:unhideWhenUsed/>
    <w:qFormat/>
    <w:rsid w:val="006C0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6C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C0D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6C0D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C0D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unhideWhenUsed/>
    <w:qFormat/>
    <w:rsid w:val="006C0D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unhideWhenUsed/>
    <w:qFormat/>
    <w:rsid w:val="006C0D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unhideWhenUsed/>
    <w:qFormat/>
    <w:rsid w:val="006C0D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C0D5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l2 Char"/>
    <w:basedOn w:val="a1"/>
    <w:link w:val="2"/>
    <w:uiPriority w:val="9"/>
    <w:rsid w:val="006C0D5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6C0D5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6C0D5F"/>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6C0D5F"/>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6C0D5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6C0D5F"/>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6C0D5F"/>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6C0D5F"/>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6C0D5F"/>
    <w:pPr>
      <w:spacing w:line="240" w:lineRule="auto"/>
    </w:pPr>
    <w:rPr>
      <w:b/>
      <w:bCs/>
      <w:color w:val="4F81BD" w:themeColor="accent1"/>
      <w:sz w:val="18"/>
      <w:szCs w:val="18"/>
    </w:rPr>
  </w:style>
  <w:style w:type="paragraph" w:styleId="a5">
    <w:name w:val="Title"/>
    <w:basedOn w:val="a0"/>
    <w:next w:val="a0"/>
    <w:link w:val="Char"/>
    <w:uiPriority w:val="10"/>
    <w:qFormat/>
    <w:rsid w:val="006C0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1"/>
    <w:link w:val="a5"/>
    <w:uiPriority w:val="10"/>
    <w:rsid w:val="006C0D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Char0"/>
    <w:uiPriority w:val="11"/>
    <w:qFormat/>
    <w:rsid w:val="006C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1"/>
    <w:link w:val="a6"/>
    <w:uiPriority w:val="11"/>
    <w:rsid w:val="006C0D5F"/>
    <w:rPr>
      <w:rFonts w:asciiTheme="majorHAnsi" w:eastAsiaTheme="majorEastAsia" w:hAnsiTheme="majorHAnsi" w:cstheme="majorBidi"/>
      <w:i/>
      <w:iCs/>
      <w:color w:val="4F81BD" w:themeColor="accent1"/>
      <w:spacing w:val="15"/>
      <w:sz w:val="24"/>
      <w:szCs w:val="24"/>
    </w:rPr>
  </w:style>
  <w:style w:type="character" w:styleId="a7">
    <w:name w:val="Strong"/>
    <w:basedOn w:val="a1"/>
    <w:uiPriority w:val="22"/>
    <w:qFormat/>
    <w:rsid w:val="006C0D5F"/>
    <w:rPr>
      <w:b/>
      <w:bCs/>
    </w:rPr>
  </w:style>
  <w:style w:type="character" w:styleId="a8">
    <w:name w:val="Emphasis"/>
    <w:basedOn w:val="a1"/>
    <w:uiPriority w:val="20"/>
    <w:qFormat/>
    <w:rsid w:val="006C0D5F"/>
    <w:rPr>
      <w:i/>
      <w:iCs/>
    </w:rPr>
  </w:style>
  <w:style w:type="paragraph" w:styleId="a9">
    <w:name w:val="No Spacing"/>
    <w:uiPriority w:val="1"/>
    <w:qFormat/>
    <w:rsid w:val="006C0D5F"/>
    <w:pPr>
      <w:spacing w:after="0" w:line="240" w:lineRule="auto"/>
    </w:pPr>
  </w:style>
  <w:style w:type="paragraph" w:styleId="aa">
    <w:name w:val="List Paragraph"/>
    <w:basedOn w:val="a0"/>
    <w:uiPriority w:val="34"/>
    <w:qFormat/>
    <w:rsid w:val="006C0D5F"/>
    <w:pPr>
      <w:ind w:left="720"/>
      <w:contextualSpacing/>
    </w:pPr>
  </w:style>
  <w:style w:type="paragraph" w:styleId="ab">
    <w:name w:val="Quote"/>
    <w:basedOn w:val="a0"/>
    <w:next w:val="a0"/>
    <w:link w:val="Char1"/>
    <w:uiPriority w:val="29"/>
    <w:qFormat/>
    <w:rsid w:val="006C0D5F"/>
    <w:rPr>
      <w:i/>
      <w:iCs/>
      <w:color w:val="000000" w:themeColor="text1"/>
    </w:rPr>
  </w:style>
  <w:style w:type="character" w:customStyle="1" w:styleId="Char1">
    <w:name w:val="Απόσπασμα Char"/>
    <w:basedOn w:val="a1"/>
    <w:link w:val="ab"/>
    <w:uiPriority w:val="29"/>
    <w:rsid w:val="006C0D5F"/>
    <w:rPr>
      <w:i/>
      <w:iCs/>
      <w:color w:val="000000" w:themeColor="text1"/>
    </w:rPr>
  </w:style>
  <w:style w:type="paragraph" w:styleId="ac">
    <w:name w:val="Intense Quote"/>
    <w:basedOn w:val="a0"/>
    <w:next w:val="a0"/>
    <w:link w:val="Char2"/>
    <w:uiPriority w:val="30"/>
    <w:qFormat/>
    <w:rsid w:val="006C0D5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1"/>
    <w:link w:val="ac"/>
    <w:uiPriority w:val="30"/>
    <w:rsid w:val="006C0D5F"/>
    <w:rPr>
      <w:b/>
      <w:bCs/>
      <w:i/>
      <w:iCs/>
      <w:color w:val="4F81BD" w:themeColor="accent1"/>
    </w:rPr>
  </w:style>
  <w:style w:type="character" w:styleId="ad">
    <w:name w:val="Subtle Emphasis"/>
    <w:basedOn w:val="a1"/>
    <w:uiPriority w:val="19"/>
    <w:qFormat/>
    <w:rsid w:val="006C0D5F"/>
    <w:rPr>
      <w:i/>
      <w:iCs/>
      <w:color w:val="808080" w:themeColor="text1" w:themeTint="7F"/>
    </w:rPr>
  </w:style>
  <w:style w:type="character" w:styleId="ae">
    <w:name w:val="Intense Emphasis"/>
    <w:basedOn w:val="a1"/>
    <w:uiPriority w:val="21"/>
    <w:qFormat/>
    <w:rsid w:val="006C0D5F"/>
    <w:rPr>
      <w:b/>
      <w:bCs/>
      <w:i/>
      <w:iCs/>
      <w:color w:val="4F81BD" w:themeColor="accent1"/>
    </w:rPr>
  </w:style>
  <w:style w:type="character" w:styleId="af">
    <w:name w:val="Subtle Reference"/>
    <w:basedOn w:val="a1"/>
    <w:uiPriority w:val="31"/>
    <w:qFormat/>
    <w:rsid w:val="006C0D5F"/>
    <w:rPr>
      <w:smallCaps/>
      <w:color w:val="C0504D" w:themeColor="accent2"/>
      <w:u w:val="single"/>
    </w:rPr>
  </w:style>
  <w:style w:type="character" w:styleId="af0">
    <w:name w:val="Intense Reference"/>
    <w:basedOn w:val="a1"/>
    <w:uiPriority w:val="32"/>
    <w:qFormat/>
    <w:rsid w:val="006C0D5F"/>
    <w:rPr>
      <w:b/>
      <w:bCs/>
      <w:smallCaps/>
      <w:color w:val="C0504D" w:themeColor="accent2"/>
      <w:spacing w:val="5"/>
      <w:u w:val="single"/>
    </w:rPr>
  </w:style>
  <w:style w:type="character" w:styleId="af1">
    <w:name w:val="Book Title"/>
    <w:basedOn w:val="a1"/>
    <w:uiPriority w:val="33"/>
    <w:qFormat/>
    <w:rsid w:val="006C0D5F"/>
    <w:rPr>
      <w:b/>
      <w:bCs/>
      <w:smallCaps/>
      <w:spacing w:val="5"/>
    </w:rPr>
  </w:style>
  <w:style w:type="paragraph" w:styleId="af2">
    <w:name w:val="TOC Heading"/>
    <w:basedOn w:val="1"/>
    <w:next w:val="a0"/>
    <w:uiPriority w:val="39"/>
    <w:semiHidden/>
    <w:unhideWhenUsed/>
    <w:qFormat/>
    <w:rsid w:val="006C0D5F"/>
    <w:pPr>
      <w:outlineLvl w:val="9"/>
    </w:pPr>
  </w:style>
  <w:style w:type="paragraph" w:customStyle="1" w:styleId="epikefalida1">
    <w:name w:val="epikefalida 1"/>
    <w:basedOn w:val="a0"/>
    <w:qFormat/>
    <w:rsid w:val="006C0D5F"/>
    <w:pPr>
      <w:numPr>
        <w:numId w:val="2"/>
      </w:numPr>
      <w:autoSpaceDE w:val="0"/>
      <w:autoSpaceDN w:val="0"/>
      <w:adjustRightInd w:val="0"/>
      <w:spacing w:before="100" w:beforeAutospacing="1" w:after="100" w:afterAutospacing="1"/>
      <w:jc w:val="both"/>
    </w:pPr>
    <w:rPr>
      <w:rFonts w:ascii="Times New Roman" w:hAnsi="Times New Roman"/>
      <w:b/>
      <w:color w:val="1F497D" w:themeColor="text2"/>
      <w:sz w:val="36"/>
      <w:szCs w:val="32"/>
    </w:rPr>
  </w:style>
  <w:style w:type="paragraph" w:customStyle="1" w:styleId="epikefalida2">
    <w:name w:val="epikefalida 2"/>
    <w:basedOn w:val="a0"/>
    <w:qFormat/>
    <w:rsid w:val="006C0D5F"/>
    <w:pPr>
      <w:numPr>
        <w:ilvl w:val="1"/>
        <w:numId w:val="2"/>
      </w:numPr>
      <w:autoSpaceDE w:val="0"/>
      <w:autoSpaceDN w:val="0"/>
      <w:adjustRightInd w:val="0"/>
      <w:spacing w:before="100" w:beforeAutospacing="1" w:after="100" w:afterAutospacing="1"/>
      <w:jc w:val="both"/>
    </w:pPr>
    <w:rPr>
      <w:b/>
      <w:color w:val="1F497D" w:themeColor="text2"/>
      <w:sz w:val="30"/>
      <w:lang w:val="el-GR"/>
    </w:rPr>
  </w:style>
  <w:style w:type="paragraph" w:styleId="a">
    <w:name w:val="List Bullet"/>
    <w:basedOn w:val="a0"/>
    <w:rsid w:val="00A51777"/>
    <w:pPr>
      <w:numPr>
        <w:numId w:val="3"/>
      </w:numPr>
      <w:spacing w:line="360" w:lineRule="auto"/>
      <w:jc w:val="both"/>
    </w:pPr>
    <w:rPr>
      <w:szCs w:val="20"/>
    </w:rPr>
  </w:style>
  <w:style w:type="paragraph" w:styleId="af3">
    <w:name w:val="footnote text"/>
    <w:basedOn w:val="a0"/>
    <w:link w:val="Char3"/>
    <w:uiPriority w:val="99"/>
    <w:semiHidden/>
    <w:unhideWhenUsed/>
    <w:rsid w:val="002F2612"/>
    <w:pPr>
      <w:spacing w:after="0" w:line="240" w:lineRule="auto"/>
    </w:pPr>
    <w:rPr>
      <w:sz w:val="20"/>
      <w:szCs w:val="20"/>
    </w:rPr>
  </w:style>
  <w:style w:type="character" w:customStyle="1" w:styleId="Char3">
    <w:name w:val="Κείμενο υποσημείωσης Char"/>
    <w:basedOn w:val="a1"/>
    <w:link w:val="af3"/>
    <w:uiPriority w:val="99"/>
    <w:semiHidden/>
    <w:rsid w:val="002F2612"/>
    <w:rPr>
      <w:rFonts w:ascii="Calibri" w:eastAsia="Times New Roman" w:hAnsi="Calibri" w:cs="Times New Roman"/>
      <w:sz w:val="20"/>
      <w:szCs w:val="20"/>
    </w:rPr>
  </w:style>
  <w:style w:type="character" w:styleId="af4">
    <w:name w:val="footnote reference"/>
    <w:basedOn w:val="a1"/>
    <w:uiPriority w:val="99"/>
    <w:semiHidden/>
    <w:unhideWhenUsed/>
    <w:rsid w:val="002F2612"/>
    <w:rPr>
      <w:vertAlign w:val="superscript"/>
    </w:rPr>
  </w:style>
  <w:style w:type="character" w:styleId="-">
    <w:name w:val="Hyperlink"/>
    <w:basedOn w:val="a1"/>
    <w:uiPriority w:val="99"/>
    <w:unhideWhenUsed/>
    <w:rsid w:val="002F2612"/>
    <w:rPr>
      <w:color w:val="0000FF" w:themeColor="hyperlink"/>
      <w:u w:val="single"/>
    </w:rPr>
  </w:style>
  <w:style w:type="paragraph" w:styleId="af5">
    <w:name w:val="header"/>
    <w:basedOn w:val="a0"/>
    <w:link w:val="Char4"/>
    <w:uiPriority w:val="99"/>
    <w:semiHidden/>
    <w:unhideWhenUsed/>
    <w:rsid w:val="004A39A7"/>
    <w:pPr>
      <w:tabs>
        <w:tab w:val="center" w:pos="4153"/>
        <w:tab w:val="right" w:pos="8306"/>
      </w:tabs>
      <w:spacing w:after="0" w:line="240" w:lineRule="auto"/>
    </w:pPr>
  </w:style>
  <w:style w:type="character" w:customStyle="1" w:styleId="Char4">
    <w:name w:val="Κεφαλίδα Char"/>
    <w:basedOn w:val="a1"/>
    <w:link w:val="af5"/>
    <w:uiPriority w:val="99"/>
    <w:semiHidden/>
    <w:rsid w:val="004A39A7"/>
    <w:rPr>
      <w:rFonts w:ascii="Calibri" w:eastAsia="Times New Roman" w:hAnsi="Calibri" w:cs="Times New Roman"/>
    </w:rPr>
  </w:style>
  <w:style w:type="paragraph" w:styleId="af6">
    <w:name w:val="footer"/>
    <w:basedOn w:val="a0"/>
    <w:link w:val="Char5"/>
    <w:uiPriority w:val="99"/>
    <w:unhideWhenUsed/>
    <w:rsid w:val="004A39A7"/>
    <w:pPr>
      <w:tabs>
        <w:tab w:val="center" w:pos="4153"/>
        <w:tab w:val="right" w:pos="8306"/>
      </w:tabs>
      <w:spacing w:after="0" w:line="240" w:lineRule="auto"/>
    </w:pPr>
  </w:style>
  <w:style w:type="character" w:customStyle="1" w:styleId="Char5">
    <w:name w:val="Υποσέλιδο Char"/>
    <w:basedOn w:val="a1"/>
    <w:link w:val="af6"/>
    <w:uiPriority w:val="99"/>
    <w:rsid w:val="004A39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777"/>
    <w:rPr>
      <w:rFonts w:ascii="Calibri" w:eastAsia="Times New Roman" w:hAnsi="Calibri" w:cs="Times New Roman"/>
    </w:rPr>
  </w:style>
  <w:style w:type="paragraph" w:styleId="1">
    <w:name w:val="heading 1"/>
    <w:basedOn w:val="a0"/>
    <w:next w:val="a0"/>
    <w:link w:val="1Char"/>
    <w:uiPriority w:val="9"/>
    <w:qFormat/>
    <w:rsid w:val="006C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2"/>
    <w:basedOn w:val="a0"/>
    <w:next w:val="a0"/>
    <w:link w:val="2Char"/>
    <w:uiPriority w:val="9"/>
    <w:unhideWhenUsed/>
    <w:qFormat/>
    <w:rsid w:val="006C0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6C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C0D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6C0D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C0D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unhideWhenUsed/>
    <w:qFormat/>
    <w:rsid w:val="006C0D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unhideWhenUsed/>
    <w:qFormat/>
    <w:rsid w:val="006C0D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unhideWhenUsed/>
    <w:qFormat/>
    <w:rsid w:val="006C0D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C0D5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l2 Char"/>
    <w:basedOn w:val="a1"/>
    <w:link w:val="2"/>
    <w:uiPriority w:val="9"/>
    <w:rsid w:val="006C0D5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6C0D5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6C0D5F"/>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6C0D5F"/>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6C0D5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6C0D5F"/>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6C0D5F"/>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6C0D5F"/>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6C0D5F"/>
    <w:pPr>
      <w:spacing w:line="240" w:lineRule="auto"/>
    </w:pPr>
    <w:rPr>
      <w:b/>
      <w:bCs/>
      <w:color w:val="4F81BD" w:themeColor="accent1"/>
      <w:sz w:val="18"/>
      <w:szCs w:val="18"/>
    </w:rPr>
  </w:style>
  <w:style w:type="paragraph" w:styleId="a5">
    <w:name w:val="Title"/>
    <w:basedOn w:val="a0"/>
    <w:next w:val="a0"/>
    <w:link w:val="Char"/>
    <w:uiPriority w:val="10"/>
    <w:qFormat/>
    <w:rsid w:val="006C0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1"/>
    <w:link w:val="a5"/>
    <w:uiPriority w:val="10"/>
    <w:rsid w:val="006C0D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Char0"/>
    <w:uiPriority w:val="11"/>
    <w:qFormat/>
    <w:rsid w:val="006C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1"/>
    <w:link w:val="a6"/>
    <w:uiPriority w:val="11"/>
    <w:rsid w:val="006C0D5F"/>
    <w:rPr>
      <w:rFonts w:asciiTheme="majorHAnsi" w:eastAsiaTheme="majorEastAsia" w:hAnsiTheme="majorHAnsi" w:cstheme="majorBidi"/>
      <w:i/>
      <w:iCs/>
      <w:color w:val="4F81BD" w:themeColor="accent1"/>
      <w:spacing w:val="15"/>
      <w:sz w:val="24"/>
      <w:szCs w:val="24"/>
    </w:rPr>
  </w:style>
  <w:style w:type="character" w:styleId="a7">
    <w:name w:val="Strong"/>
    <w:basedOn w:val="a1"/>
    <w:uiPriority w:val="22"/>
    <w:qFormat/>
    <w:rsid w:val="006C0D5F"/>
    <w:rPr>
      <w:b/>
      <w:bCs/>
    </w:rPr>
  </w:style>
  <w:style w:type="character" w:styleId="a8">
    <w:name w:val="Emphasis"/>
    <w:basedOn w:val="a1"/>
    <w:uiPriority w:val="20"/>
    <w:qFormat/>
    <w:rsid w:val="006C0D5F"/>
    <w:rPr>
      <w:i/>
      <w:iCs/>
    </w:rPr>
  </w:style>
  <w:style w:type="paragraph" w:styleId="a9">
    <w:name w:val="No Spacing"/>
    <w:uiPriority w:val="1"/>
    <w:qFormat/>
    <w:rsid w:val="006C0D5F"/>
    <w:pPr>
      <w:spacing w:after="0" w:line="240" w:lineRule="auto"/>
    </w:pPr>
  </w:style>
  <w:style w:type="paragraph" w:styleId="aa">
    <w:name w:val="List Paragraph"/>
    <w:basedOn w:val="a0"/>
    <w:uiPriority w:val="34"/>
    <w:qFormat/>
    <w:rsid w:val="006C0D5F"/>
    <w:pPr>
      <w:ind w:left="720"/>
      <w:contextualSpacing/>
    </w:pPr>
  </w:style>
  <w:style w:type="paragraph" w:styleId="ab">
    <w:name w:val="Quote"/>
    <w:basedOn w:val="a0"/>
    <w:next w:val="a0"/>
    <w:link w:val="Char1"/>
    <w:uiPriority w:val="29"/>
    <w:qFormat/>
    <w:rsid w:val="006C0D5F"/>
    <w:rPr>
      <w:i/>
      <w:iCs/>
      <w:color w:val="000000" w:themeColor="text1"/>
    </w:rPr>
  </w:style>
  <w:style w:type="character" w:customStyle="1" w:styleId="Char1">
    <w:name w:val="Απόσπασμα Char"/>
    <w:basedOn w:val="a1"/>
    <w:link w:val="ab"/>
    <w:uiPriority w:val="29"/>
    <w:rsid w:val="006C0D5F"/>
    <w:rPr>
      <w:i/>
      <w:iCs/>
      <w:color w:val="000000" w:themeColor="text1"/>
    </w:rPr>
  </w:style>
  <w:style w:type="paragraph" w:styleId="ac">
    <w:name w:val="Intense Quote"/>
    <w:basedOn w:val="a0"/>
    <w:next w:val="a0"/>
    <w:link w:val="Char2"/>
    <w:uiPriority w:val="30"/>
    <w:qFormat/>
    <w:rsid w:val="006C0D5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1"/>
    <w:link w:val="ac"/>
    <w:uiPriority w:val="30"/>
    <w:rsid w:val="006C0D5F"/>
    <w:rPr>
      <w:b/>
      <w:bCs/>
      <w:i/>
      <w:iCs/>
      <w:color w:val="4F81BD" w:themeColor="accent1"/>
    </w:rPr>
  </w:style>
  <w:style w:type="character" w:styleId="ad">
    <w:name w:val="Subtle Emphasis"/>
    <w:basedOn w:val="a1"/>
    <w:uiPriority w:val="19"/>
    <w:qFormat/>
    <w:rsid w:val="006C0D5F"/>
    <w:rPr>
      <w:i/>
      <w:iCs/>
      <w:color w:val="808080" w:themeColor="text1" w:themeTint="7F"/>
    </w:rPr>
  </w:style>
  <w:style w:type="character" w:styleId="ae">
    <w:name w:val="Intense Emphasis"/>
    <w:basedOn w:val="a1"/>
    <w:uiPriority w:val="21"/>
    <w:qFormat/>
    <w:rsid w:val="006C0D5F"/>
    <w:rPr>
      <w:b/>
      <w:bCs/>
      <w:i/>
      <w:iCs/>
      <w:color w:val="4F81BD" w:themeColor="accent1"/>
    </w:rPr>
  </w:style>
  <w:style w:type="character" w:styleId="af">
    <w:name w:val="Subtle Reference"/>
    <w:basedOn w:val="a1"/>
    <w:uiPriority w:val="31"/>
    <w:qFormat/>
    <w:rsid w:val="006C0D5F"/>
    <w:rPr>
      <w:smallCaps/>
      <w:color w:val="C0504D" w:themeColor="accent2"/>
      <w:u w:val="single"/>
    </w:rPr>
  </w:style>
  <w:style w:type="character" w:styleId="af0">
    <w:name w:val="Intense Reference"/>
    <w:basedOn w:val="a1"/>
    <w:uiPriority w:val="32"/>
    <w:qFormat/>
    <w:rsid w:val="006C0D5F"/>
    <w:rPr>
      <w:b/>
      <w:bCs/>
      <w:smallCaps/>
      <w:color w:val="C0504D" w:themeColor="accent2"/>
      <w:spacing w:val="5"/>
      <w:u w:val="single"/>
    </w:rPr>
  </w:style>
  <w:style w:type="character" w:styleId="af1">
    <w:name w:val="Book Title"/>
    <w:basedOn w:val="a1"/>
    <w:uiPriority w:val="33"/>
    <w:qFormat/>
    <w:rsid w:val="006C0D5F"/>
    <w:rPr>
      <w:b/>
      <w:bCs/>
      <w:smallCaps/>
      <w:spacing w:val="5"/>
    </w:rPr>
  </w:style>
  <w:style w:type="paragraph" w:styleId="af2">
    <w:name w:val="TOC Heading"/>
    <w:basedOn w:val="1"/>
    <w:next w:val="a0"/>
    <w:uiPriority w:val="39"/>
    <w:semiHidden/>
    <w:unhideWhenUsed/>
    <w:qFormat/>
    <w:rsid w:val="006C0D5F"/>
    <w:pPr>
      <w:outlineLvl w:val="9"/>
    </w:pPr>
  </w:style>
  <w:style w:type="paragraph" w:customStyle="1" w:styleId="epikefalida1">
    <w:name w:val="epikefalida 1"/>
    <w:basedOn w:val="a0"/>
    <w:qFormat/>
    <w:rsid w:val="006C0D5F"/>
    <w:pPr>
      <w:numPr>
        <w:numId w:val="2"/>
      </w:numPr>
      <w:autoSpaceDE w:val="0"/>
      <w:autoSpaceDN w:val="0"/>
      <w:adjustRightInd w:val="0"/>
      <w:spacing w:before="100" w:beforeAutospacing="1" w:after="100" w:afterAutospacing="1"/>
      <w:jc w:val="both"/>
    </w:pPr>
    <w:rPr>
      <w:rFonts w:ascii="Times New Roman" w:hAnsi="Times New Roman"/>
      <w:b/>
      <w:color w:val="1F497D" w:themeColor="text2"/>
      <w:sz w:val="36"/>
      <w:szCs w:val="32"/>
    </w:rPr>
  </w:style>
  <w:style w:type="paragraph" w:customStyle="1" w:styleId="epikefalida2">
    <w:name w:val="epikefalida 2"/>
    <w:basedOn w:val="a0"/>
    <w:qFormat/>
    <w:rsid w:val="006C0D5F"/>
    <w:pPr>
      <w:numPr>
        <w:ilvl w:val="1"/>
        <w:numId w:val="2"/>
      </w:numPr>
      <w:autoSpaceDE w:val="0"/>
      <w:autoSpaceDN w:val="0"/>
      <w:adjustRightInd w:val="0"/>
      <w:spacing w:before="100" w:beforeAutospacing="1" w:after="100" w:afterAutospacing="1"/>
      <w:jc w:val="both"/>
    </w:pPr>
    <w:rPr>
      <w:b/>
      <w:color w:val="1F497D" w:themeColor="text2"/>
      <w:sz w:val="30"/>
      <w:lang w:val="el-GR"/>
    </w:rPr>
  </w:style>
  <w:style w:type="paragraph" w:styleId="a">
    <w:name w:val="List Bullet"/>
    <w:basedOn w:val="a0"/>
    <w:rsid w:val="00A51777"/>
    <w:pPr>
      <w:numPr>
        <w:numId w:val="3"/>
      </w:numPr>
      <w:spacing w:line="360" w:lineRule="auto"/>
      <w:jc w:val="both"/>
    </w:pPr>
    <w:rPr>
      <w:szCs w:val="20"/>
    </w:rPr>
  </w:style>
  <w:style w:type="paragraph" w:styleId="af3">
    <w:name w:val="footnote text"/>
    <w:basedOn w:val="a0"/>
    <w:link w:val="Char3"/>
    <w:uiPriority w:val="99"/>
    <w:semiHidden/>
    <w:unhideWhenUsed/>
    <w:rsid w:val="002F2612"/>
    <w:pPr>
      <w:spacing w:after="0" w:line="240" w:lineRule="auto"/>
    </w:pPr>
    <w:rPr>
      <w:sz w:val="20"/>
      <w:szCs w:val="20"/>
    </w:rPr>
  </w:style>
  <w:style w:type="character" w:customStyle="1" w:styleId="Char3">
    <w:name w:val="Κείμενο υποσημείωσης Char"/>
    <w:basedOn w:val="a1"/>
    <w:link w:val="af3"/>
    <w:uiPriority w:val="99"/>
    <w:semiHidden/>
    <w:rsid w:val="002F2612"/>
    <w:rPr>
      <w:rFonts w:ascii="Calibri" w:eastAsia="Times New Roman" w:hAnsi="Calibri" w:cs="Times New Roman"/>
      <w:sz w:val="20"/>
      <w:szCs w:val="20"/>
    </w:rPr>
  </w:style>
  <w:style w:type="character" w:styleId="af4">
    <w:name w:val="footnote reference"/>
    <w:basedOn w:val="a1"/>
    <w:uiPriority w:val="99"/>
    <w:semiHidden/>
    <w:unhideWhenUsed/>
    <w:rsid w:val="002F2612"/>
    <w:rPr>
      <w:vertAlign w:val="superscript"/>
    </w:rPr>
  </w:style>
  <w:style w:type="character" w:styleId="-">
    <w:name w:val="Hyperlink"/>
    <w:basedOn w:val="a1"/>
    <w:uiPriority w:val="99"/>
    <w:unhideWhenUsed/>
    <w:rsid w:val="002F2612"/>
    <w:rPr>
      <w:color w:val="0000FF" w:themeColor="hyperlink"/>
      <w:u w:val="single"/>
    </w:rPr>
  </w:style>
  <w:style w:type="paragraph" w:styleId="af5">
    <w:name w:val="header"/>
    <w:basedOn w:val="a0"/>
    <w:link w:val="Char4"/>
    <w:uiPriority w:val="99"/>
    <w:semiHidden/>
    <w:unhideWhenUsed/>
    <w:rsid w:val="004A39A7"/>
    <w:pPr>
      <w:tabs>
        <w:tab w:val="center" w:pos="4153"/>
        <w:tab w:val="right" w:pos="8306"/>
      </w:tabs>
      <w:spacing w:after="0" w:line="240" w:lineRule="auto"/>
    </w:pPr>
  </w:style>
  <w:style w:type="character" w:customStyle="1" w:styleId="Char4">
    <w:name w:val="Κεφαλίδα Char"/>
    <w:basedOn w:val="a1"/>
    <w:link w:val="af5"/>
    <w:uiPriority w:val="99"/>
    <w:semiHidden/>
    <w:rsid w:val="004A39A7"/>
    <w:rPr>
      <w:rFonts w:ascii="Calibri" w:eastAsia="Times New Roman" w:hAnsi="Calibri" w:cs="Times New Roman"/>
    </w:rPr>
  </w:style>
  <w:style w:type="paragraph" w:styleId="af6">
    <w:name w:val="footer"/>
    <w:basedOn w:val="a0"/>
    <w:link w:val="Char5"/>
    <w:uiPriority w:val="99"/>
    <w:unhideWhenUsed/>
    <w:rsid w:val="004A39A7"/>
    <w:pPr>
      <w:tabs>
        <w:tab w:val="center" w:pos="4153"/>
        <w:tab w:val="right" w:pos="8306"/>
      </w:tabs>
      <w:spacing w:after="0" w:line="240" w:lineRule="auto"/>
    </w:pPr>
  </w:style>
  <w:style w:type="character" w:customStyle="1" w:styleId="Char5">
    <w:name w:val="Υποσέλιδο Char"/>
    <w:basedOn w:val="a1"/>
    <w:link w:val="af6"/>
    <w:uiPriority w:val="99"/>
    <w:rsid w:val="004A39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EN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8E6813-0933-4A53-A051-0A005EB2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4581</Words>
  <Characters>24739</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apapas</dc:creator>
  <cp:lastModifiedBy>223user</cp:lastModifiedBy>
  <cp:revision>2</cp:revision>
  <cp:lastPrinted>2015-07-13T10:23:00Z</cp:lastPrinted>
  <dcterms:created xsi:type="dcterms:W3CDTF">2018-04-27T07:05:00Z</dcterms:created>
  <dcterms:modified xsi:type="dcterms:W3CDTF">2018-04-27T07:05:00Z</dcterms:modified>
</cp:coreProperties>
</file>